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C78" w:rsidRDefault="009A7C78" w:rsidP="009A7C78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4"/>
          <w:szCs w:val="24"/>
        </w:rPr>
      </w:pPr>
      <w:r>
        <w:rPr>
          <w:rFonts w:ascii="Calibri" w:eastAsia="Calibri" w:hAnsi="Calibri" w:cs="Calibri"/>
          <w:b/>
          <w:smallCaps/>
          <w:color w:val="FFFFFF"/>
          <w:sz w:val="24"/>
          <w:szCs w:val="24"/>
        </w:rPr>
        <w:t xml:space="preserve">PŘÍLOHA Č. 7 – ZÁVĚREČNÁ ZPRÁVA ROZVOJOVÉHO AUDITU ČESKÉ ASOCIACE STREETWORK, ČESTNÉ PROHLÁŠENÍ HODNOTITELŮ 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W w:w="106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2835"/>
        <w:gridCol w:w="5333"/>
      </w:tblGrid>
      <w:tr w:rsidR="009A7C78" w:rsidTr="00D70034">
        <w:trPr>
          <w:trHeight w:val="575"/>
        </w:trPr>
        <w:tc>
          <w:tcPr>
            <w:tcW w:w="2518" w:type="dxa"/>
            <w:vMerge w:val="restart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Rozvojový audit ČAS provedl hodnotitelský tým ve složení:</w:t>
            </w:r>
          </w:p>
        </w:tc>
        <w:tc>
          <w:tcPr>
            <w:tcW w:w="2835" w:type="dxa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Vedoucí hodnotitelského týmu:</w:t>
            </w:r>
          </w:p>
        </w:tc>
        <w:tc>
          <w:tcPr>
            <w:tcW w:w="5333" w:type="dxa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A7C78" w:rsidTr="00D70034">
        <w:trPr>
          <w:trHeight w:val="574"/>
        </w:trPr>
        <w:tc>
          <w:tcPr>
            <w:tcW w:w="2518" w:type="dxa"/>
            <w:vMerge/>
          </w:tcPr>
          <w:p w:rsidR="009A7C78" w:rsidRDefault="009A7C78" w:rsidP="00D700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Člen hodnotitelského týmu:</w:t>
            </w:r>
          </w:p>
        </w:tc>
        <w:tc>
          <w:tcPr>
            <w:tcW w:w="5333" w:type="dxa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A7C78" w:rsidTr="00D70034">
        <w:tc>
          <w:tcPr>
            <w:tcW w:w="2518" w:type="dxa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Název služby: </w:t>
            </w:r>
          </w:p>
        </w:tc>
        <w:tc>
          <w:tcPr>
            <w:tcW w:w="8168" w:type="dxa"/>
            <w:gridSpan w:val="2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A7C78" w:rsidTr="00D70034">
        <w:tc>
          <w:tcPr>
            <w:tcW w:w="2518" w:type="dxa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Registrační číslo služby:</w:t>
            </w:r>
          </w:p>
        </w:tc>
        <w:tc>
          <w:tcPr>
            <w:tcW w:w="8168" w:type="dxa"/>
            <w:gridSpan w:val="2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A7C78" w:rsidTr="00D70034">
        <w:tc>
          <w:tcPr>
            <w:tcW w:w="2518" w:type="dxa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Název zřizovatele služby:</w:t>
            </w:r>
          </w:p>
        </w:tc>
        <w:tc>
          <w:tcPr>
            <w:tcW w:w="8168" w:type="dxa"/>
            <w:gridSpan w:val="2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A7C78" w:rsidTr="00D70034">
        <w:tc>
          <w:tcPr>
            <w:tcW w:w="10686" w:type="dxa"/>
            <w:gridSpan w:val="3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Služba JE/NENÍ členem ČAS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(nehodící se škrtněte, nebo vymažte)</w:t>
            </w:r>
          </w:p>
        </w:tc>
      </w:tr>
      <w:tr w:rsidR="009A7C78" w:rsidTr="00D70034">
        <w:tc>
          <w:tcPr>
            <w:tcW w:w="2518" w:type="dxa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Adresa služby, kde byl proveden rozvojový audit ČAS: </w:t>
            </w:r>
          </w:p>
        </w:tc>
        <w:tc>
          <w:tcPr>
            <w:tcW w:w="8168" w:type="dxa"/>
            <w:gridSpan w:val="2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A7C78" w:rsidTr="00D70034">
        <w:tc>
          <w:tcPr>
            <w:tcW w:w="2518" w:type="dxa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Odpovědný vedoucí služby:</w:t>
            </w:r>
          </w:p>
        </w:tc>
        <w:tc>
          <w:tcPr>
            <w:tcW w:w="8168" w:type="dxa"/>
            <w:gridSpan w:val="2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A7C78" w:rsidTr="00D70034">
        <w:tc>
          <w:tcPr>
            <w:tcW w:w="2518" w:type="dxa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Datum realizace Rozvojového auditu:</w:t>
            </w:r>
          </w:p>
        </w:tc>
        <w:tc>
          <w:tcPr>
            <w:tcW w:w="8168" w:type="dxa"/>
            <w:gridSpan w:val="2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Výčet dokladů, o které se zjištění hodnotitelů opírá: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Dokumenty služby: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Prohlídka zázemí služby: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Nahlédnutí do dokumentů: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Rozhovor s pracovníky služby: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Rozhovor s klienty služby: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Záznam z pozorování: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Výstupy z vyhodnocení ročního plánu rozvoje kvality (pouze v případě, že se jedná o rozvojový audit zařízení, které žádá o obnovení osvědčení o úspěšném absolvování hodnocení kvality ČAS):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Závěrečná zpráva z předchozího Rozvojového auditu (pouze v případě, že se jedná o rozvojový audit zařízení, které žádá o obnovení osvědčení o úspěšném absolvování hodnocení kvality ČAS):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br w:type="page"/>
      </w:r>
    </w:p>
    <w:p w:rsidR="009A7C78" w:rsidRDefault="009A7C78" w:rsidP="009A7C78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lastRenderedPageBreak/>
        <w:t>POPIS POSKYTOVANÝCH SLUŽEB PODLE KRITÉRIÍ KVALITY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OBLAST 1 – VEŘEJNÝ ZÁVAZEK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851"/>
      </w:tblGrid>
      <w:tr w:rsidR="009A7C78" w:rsidTr="00D70034">
        <w:trPr>
          <w:trHeight w:val="3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Tvrdé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Organizace má písemně zpracovaný kompletní VZ (poslání, cílová skupina, cíle, principy).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Měkké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Veřejný závazek vychází z potřeb klientů, organizace/služby, lokality, komunity a zadavatele.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Veřejný závazek je formulován srozumitelně pro laickou i odbornou veřejnost i klienty služby.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Služba pravidelně hodnotí, zda naplňuje deklarovaný veřejný závazek.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svůj veřejný závazek pravidelně reviduje.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Krátkodobé (dílčí) cíle služby jsou v souladu s veřejným závazkem.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Služby jsou poskytovány na základě principu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nízkoprahovosti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 Organizace má písemně zpracovaný kompletní VZ (poslání, cílová skupina, cíle, principy).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trike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 Veřejný závazek vychází z potřeb klientů, organizace/služby, lokality, komunity a zadavatele.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 Veřejný závazek je formulován srozumitelně pro laickou i odbornou veřejnost i klienty služby.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4 </w:t>
      </w:r>
      <w:r>
        <w:rPr>
          <w:rFonts w:ascii="Calibri" w:eastAsia="Calibri" w:hAnsi="Calibri" w:cs="Calibri"/>
          <w:b/>
          <w:sz w:val="22"/>
          <w:szCs w:val="22"/>
        </w:rPr>
        <w:t>Služba pravidelně hodnotí, zda naplňuje deklarovaný veřejný závazek.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 Služba svůj veřejný závazek pravidelně reviduje.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6 Krátkodobé (dílčí) cíle služby jsou v souladu s veřejným závazkem.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7 Služby jsou poskytovány na základě principu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nízkoprahovosti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>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OBLAST 2 – CÍLOVÁ SKUPINA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993"/>
      </w:tblGrid>
      <w:tr w:rsidR="009A7C78" w:rsidTr="00D70034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Tvrdé </w:t>
            </w:r>
          </w:p>
        </w:tc>
        <w:tc>
          <w:tcPr>
            <w:tcW w:w="567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Metodika obsahuje rozpracované charakteristiky cílové skupiny.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Metodika obsahuje popis nepříznivých sociálních situací typických pro klienty služby/zařízení. 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spolupracuje s dalšími odbornými službami relevantními vzhledem k CS.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má definováno, jestli, proč, kdy a jak pracuje s důvěrností a s anonymitou.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Měkké 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jsou schopni u jakéhokoliv konkrétního klienta uvést, v jaké nepříznivé sociální situaci se nachází.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umí popsat souvislost mezi potřebami CS a službami, které poskytují.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operativně reagují nabídkou služeb na aktuální potřeby CS, vč. spolupráce s dalšími odbornými službami relevantními vzhledem k CS či spolupráce s přirozeným soc. prostředím klienta.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umí zdůvodnit vymezení CS. Pracovníci uvádějí důvody, proč nepracují s negativní CS – s těmi, kteří leží za vymezenou hranicí – věkem, lokalitou, užívanou látkou, chováním, životní situací.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Pracovníci umí vysvětlit CS, proč pracují právě s ní. 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8 – Metodika obsahuje rozpracované charakteristiky cílové skupiny.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9 – Metodika obsahuje popis nepříznivých sociálních situací typických pro klienty služby/zařízení.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10 – Služba spolupracuje s dalšími odbornými službami relevantními vzhledem k CS.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11 – Služba má definováno, jestli, proč, kdy a jak pracuje s důvěrností a s anonymitou.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12 – Pracovníci jsou schopni u jakéhokoliv konkrétního klienta uvést, v jaké nepříznivé sociální situaci se nachází.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13 – Pracovníci umí popsat souvislost mezi potřebami CS a službami, které poskytují.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14 – Pracovníci operativně reagují nabídkou služeb na aktuální potřeby CS, vč. spolupráce s dalšími odbornými službami relevantními vzhledem k CS či spolupráce s přirozeným soc. prostředím klienta.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15 - Pracovníci umí zdůvodnit vymezení CS. Pracovníci uvádějí důvody, proč nepracují s negativní CS – s těmi, kteří leží za vymezenou hranicí – věkem, lokalitou, užívanou látkou, chováním, životní situací.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16 - Pracovníci umí vysvětlit CS, proč pracují právě s 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lastRenderedPageBreak/>
        <w:t>Opatření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>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OBLAST 3 – PRÁVA KLIENTŮ 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W w:w="10687" w:type="dxa"/>
        <w:tblLayout w:type="fixed"/>
        <w:tblLook w:val="0400" w:firstRow="0" w:lastRow="0" w:firstColumn="0" w:lastColumn="0" w:noHBand="0" w:noVBand="1"/>
      </w:tblPr>
      <w:tblGrid>
        <w:gridCol w:w="906"/>
        <w:gridCol w:w="567"/>
        <w:gridCol w:w="8221"/>
        <w:gridCol w:w="993"/>
      </w:tblGrid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Tvrdé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Práva klientů a pravidla, která v praxi porušování těchto práv účinně zamezují, jsou definována v metodice.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 metodice jsou definovány postupy při porušení práv klientů.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Měkké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Práva klientů jsou naplňována. Pracovníci popíší situace, kdy vědomě omezují práva klientů (sankce při porušení pravidel).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Práva a povinnosti jsou ve srozumitelné formě dostupné klientům.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Definice práv klientů vycházejí z konkrétní praxe zařízení. Pracovníci uvádějí konkrétní situace, ve kterých jsou definovaná práva užitečná pro klienty (jak se projeví ve službě, před čím je chrání).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uvádějí příklad porušení práva klienta nebo možné oblasti porušení práv.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prokazatelně řeší porušení práv klienta.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využívá stížnosti jako nástroj zkvalitnění služby.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17 – Práva klientů a pravidla, která v praxi porušování těchto práv účinně zamezují, jsou definována v metodice.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18 – V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 metodice jsou definovány postupy při porušení práv klientů.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19 – Práva klientů jsou naplňována. Pracovníci popíší situace, kdy vědomě omezují práva klientů (sankce při porušení pravidel).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20 – Práva a povinnosti jsou ve srozumitelné formě dostupné klientům.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21 – Definice práv klientů vycházejí z konkrétní praxe zařízení. Pracovníci uvádějí konkrétní situace, ve kterých jsou definovaná práva užitečná pro klienty (jak se projeví ve službě, před čím je chrání).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22 – Pracovníci uvádějí příklad porušení práva klienta nebo možné oblasti porušení práv. 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23 – Pracovníci prokazatelně řeší porušení práv klienta.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24 - Služba využívá stížnosti jako nástroj zkvalitnění služby.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OBLAST 4 – STŘETY ZÁJMŮ, PROFESNÍ HRANICE A ETICKÁ DILEMATA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10687" w:type="dxa"/>
        <w:tblLayout w:type="fixed"/>
        <w:tblLook w:val="0400" w:firstRow="0" w:lastRow="0" w:firstColumn="0" w:lastColumn="0" w:noHBand="0" w:noVBand="1"/>
      </w:tblPr>
      <w:tblGrid>
        <w:gridCol w:w="906"/>
        <w:gridCol w:w="567"/>
        <w:gridCol w:w="8221"/>
        <w:gridCol w:w="993"/>
      </w:tblGrid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Tvrdé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Definice, příklady a způsoby řešení střetů zájmů jsou součástí metodiky.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26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Etický kodex je součástí předpisu nebo metodiky organizace a pracovníci se v něm orientují.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27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Poskytovatel má písemně zpracován postup přijímání darů.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Měkké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Pracovnici rozumí pojmu „střet zájmů“.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29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rozumí práci s hranicemi, uvádí praktické příklady práce se střetem zájmů a udržením hranic.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uvádí př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í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klad etických dilemat vznikajících v praxi zařízení a znají možnosti jej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 řešení.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25 – Definice, příklady a způsoby řešení střetů zájmů jsou součástí metodiky.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26 – Etický kodex je součástí předpisu nebo metodiky organizace a pracovníci se v něm orientují.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27 – Poskytovatel má písemně zpracován postup přijímání darů.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28 – Pracovnici rozumí pojmu „střet zájmů“.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29 – Pracovníci rozumí práci s hranicemi, uvádí praktické příklady práce se střetem zájmů a udržením hranic.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30 - Pracovníci uvádí přiklad etických dilemat vznikajících v praxi zařízení a znají možnosti jejích řešení.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>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lastRenderedPageBreak/>
        <w:t>OBLAST 5 – PRVNÍ KONTAKT A JEDNÁNÍ SE ZÁJEMCEM O SLUŽBU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993"/>
      </w:tblGrid>
      <w:tr w:rsidR="009A7C78" w:rsidTr="00D70034">
        <w:trPr>
          <w:trHeight w:val="340"/>
        </w:trPr>
        <w:tc>
          <w:tcPr>
            <w:tcW w:w="959" w:type="dxa"/>
            <w:shd w:val="clear" w:color="auto" w:fill="DBE5F1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Tvrdé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31</w:t>
            </w:r>
          </w:p>
        </w:tc>
        <w:tc>
          <w:tcPr>
            <w:tcW w:w="8221" w:type="dxa"/>
            <w:shd w:val="clear" w:color="auto" w:fill="DBE5F1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Služba má stanovený písemný postup jednání se zájemcem o službu, který obsahuje všechny náležitosti, včetně zjišťování, zda je zájemce o službu v nepříznivé sociální situaci. Tato situace je u každého zájemce písemně zaznamenána. Služba neuzavře smlouvu se zájemcem, který není v nepříznivé sociální situaci. </w:t>
            </w:r>
          </w:p>
        </w:tc>
        <w:tc>
          <w:tcPr>
            <w:tcW w:w="993" w:type="dxa"/>
            <w:shd w:val="clear" w:color="auto" w:fill="DBE5F1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Měkké 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rozumí tomu, co to je NSS, proč je důležité ji u zájemců zjišťovat a pracovat s ní v rámci poskytování služeb.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33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Postup jednání se zájemcem je vytvořen na základě praxe nízkoprahových služeb a potřeb cílové skupiny. Postup podporuje dobrou první zkušenost klienta se službou.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34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Postup obsahuje i výjimečné či problémové situace.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dokáží vysvětlit rozdíl mezi zájemcem o službu a klientem a specifika práce s nimi.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31 – Služba má stanovený písemný postup jednání se zájemcem o službu, který obsahuje všechny náležitosti, včetně zjišťování, zda je zájemce o službu v nepříznivé sociální situaci. Tato situace je u každého zájemce písemně zaznamenána. Služba neuzavře smlouvu se zájemcem, který není v nepříznivé sociální situaci.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32 – Pracovníci rozumí tomu, co to je NSS, proč je důležité ji u zájemců zjišťovat a pracovat s ní v rámci poskytování služeb.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33 – Postup jednání se zájemcem je vytvořen na základě praxe nízkoprahových služeb a potřeb cílové skupiny. Postup podporuje dobrou první zkušenost klienta se službou.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34 – Postup obsahuje i výjimečné či problémové situace.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35 - Pracovníci dokáží vysvětlit rozdíl mezi zájemcem o službu a klientem a specifika práce s nimi.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>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OBLAST 6 – SMLOUVY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993"/>
      </w:tblGrid>
      <w:tr w:rsidR="009A7C78" w:rsidTr="00D70034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Tvrdé </w:t>
            </w:r>
          </w:p>
        </w:tc>
        <w:tc>
          <w:tcPr>
            <w:tcW w:w="567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36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má stanovený písemný postup pro uzavírání, evidenci a ukončování smluv.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37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Poskytované služby vycházejí z dojednaných cílů spolupráce a z potřeb klienta.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Měkké 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38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Postup sjednávání a forma smluv jsou vytvořeny na základě praxe nízkoprahových služeb, potřeb cílové skupiny a jsou v souladu se zákonem.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39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Pracovníci dokáží vysvětlit, co dělají, když po nich chtějí poskytnout sociální služby lidé bez smlouvy. 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dokáží popsat přínos uzavření smlouvy pro klienta.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36 – Služba má stanovený písemný postup pro uzavírání, evidenci a ukončování smluv.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37 –Poskytované služby vycházejí z dojednaných cílů spolupráce a z potřeb klienta.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38 – Postup sjednávání a forma smluv jsou vytvořeny na základě praxe nízkoprahových služeb, potřeb cílové skupiny a jsou v souladu se zákonem.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39 – Pracovníci dokáží vysvětlit, co dělají, když po nich chtějí poskytnout sociální služby lidé bez smlouvy.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40 - Pracovníci dokáží popsat přínos uzavření smlouvy pro klienta.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>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OBLAST 7 – INDIVIDUÁLNÍ PLÁNOVÁNÍ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sz w:val="22"/>
          <w:szCs w:val="22"/>
        </w:rPr>
      </w:pPr>
    </w:p>
    <w:tbl>
      <w:tblPr>
        <w:tblW w:w="106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60"/>
        <w:gridCol w:w="495"/>
        <w:gridCol w:w="8190"/>
        <w:gridCol w:w="990"/>
      </w:tblGrid>
      <w:tr w:rsidR="009A7C78" w:rsidTr="00D70034">
        <w:trPr>
          <w:trHeight w:val="74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Tvrdé 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41</w:t>
            </w:r>
          </w:p>
        </w:tc>
        <w:tc>
          <w:tcPr>
            <w:tcW w:w="8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Organizace má písemně zpracovanou definici, co považuje za individuální plán nebo individuální plánování.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</w:tr>
      <w:tr w:rsidR="009A7C78" w:rsidTr="00D70034">
        <w:trPr>
          <w:trHeight w:val="155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both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42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Záznamy individuálního plánování obsahují stručný popis nepříznivé sociální situace, potřeby, cíl, klientovu volbu, intervence vycházející z potřeb klientů, výsledek (případně revizi a novou zakázku), hodnocení procesu poskytování služby a naplnění zakázky (osobní cíle, cíle spolupráce).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</w:tr>
      <w:tr w:rsidR="009A7C78" w:rsidTr="00D70034">
        <w:trPr>
          <w:trHeight w:val="74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43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Služba prokazatelně mapuje potřeby klienta a dle zjištění spolupracuje s jeho přirozeným sociálním prostředím.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</w:tr>
      <w:tr w:rsidR="009A7C78" w:rsidTr="00D70034">
        <w:trPr>
          <w:trHeight w:val="101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smallCaps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44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Pracovník dokáže ve své intervenci identifikovat potřeby a souvislost s veřejným závazkem služby. Proces individuálního plánování je v souladu s deklarovaným závazkem služby.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</w:tr>
      <w:tr w:rsidR="009A7C78" w:rsidTr="00D70034">
        <w:trPr>
          <w:trHeight w:val="74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Měkké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45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Pracovníci dokáží zdůvodnit, proč daný klient má/nemá svůj individuální plán (proč s ním není plánováno).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</w:tr>
      <w:tr w:rsidR="009A7C78" w:rsidTr="00D70034">
        <w:trPr>
          <w:trHeight w:val="74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both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46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Pracovník dokáže v předloženém IP identifikovat klientovu nepříznivou sociální situaci a potřeby klienta.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</w:tr>
      <w:tr w:rsidR="009A7C78" w:rsidTr="00D70034">
        <w:trPr>
          <w:trHeight w:val="74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both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47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Pracovník dokáže vysvětlit logickou návaznost mezi nepříznivou sociální situací klienta, sjednanými cíli spolupráce a poskytovanými službami.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</w:tr>
      <w:tr w:rsidR="009A7C78" w:rsidTr="00D70034">
        <w:trPr>
          <w:trHeight w:val="5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both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48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Pracovník dokáže určit alternativu ke své intervenci.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9A7C78" w:rsidRDefault="009A7C78" w:rsidP="00D7003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sz w:val="24"/>
          <w:szCs w:val="24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41 – Organizace má písemně zpracovanou definici, co považuje za individuální plán nebo individuální plánování.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42 – </w:t>
      </w:r>
      <w:r>
        <w:rPr>
          <w:rFonts w:ascii="Calibri" w:eastAsia="Calibri" w:hAnsi="Calibri" w:cs="Calibri"/>
          <w:b/>
          <w:sz w:val="24"/>
          <w:szCs w:val="24"/>
        </w:rPr>
        <w:t>Záznamy individuálního plánování obsahují stručný popis nepříznivé sociální situace, potřeby, cíl, klientovu volbu, intervence vycházející z potřeb klientů, výsledek (případně revizi a novou zakázku), hodnocení procesu poskytování služby a naplnění zakázky (osobní cíle, cíle spolupráce).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43 – Služba prokazatelně mapuje potřeby klienta a dle zjištění spolupracuje s jeho přirozeným sociálním prostředím.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44 – Pracovník dokáže ve své intervenci identifikovat potřeby a souvislost s veřejným závazkem služby. Proces individuálního plánování je v souladu s deklarovaným závazkem služby.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45 –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Pracovníci dokáží zdůvodnit, proč daný klient má/nemá svůj individuální plán (proč s ním není plánováno).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>
        <w:rPr>
          <w:rFonts w:ascii="Calibri" w:eastAsia="Calibri" w:hAnsi="Calibri" w:cs="Calibri"/>
          <w:b/>
          <w:sz w:val="22"/>
          <w:szCs w:val="22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Pracovník dokáže v předloženém IP identifikovat klientovu nepříznivou sociální situaci a potřeby klienta.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>
        <w:rPr>
          <w:rFonts w:ascii="Calibri" w:eastAsia="Calibri" w:hAnsi="Calibri" w:cs="Calibri"/>
          <w:b/>
          <w:sz w:val="22"/>
          <w:szCs w:val="22"/>
        </w:rPr>
        <w:t>7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Pracovník dokáže vysvětlit logickou návaznost mezi nepříznivou sociální situací klienta, sjednanými cíli spolupráce a poskytovanými službami.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>
        <w:rPr>
          <w:rFonts w:ascii="Calibri" w:eastAsia="Calibri" w:hAnsi="Calibri" w:cs="Calibri"/>
          <w:b/>
          <w:sz w:val="22"/>
          <w:szCs w:val="22"/>
        </w:rPr>
        <w:t>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Pracovník dokáže určit alternativu ke své intervenci.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Bez opatření.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OBLAST 8 – PERSONÁLNÍ A ORGANIZAČNÍ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993"/>
      </w:tblGrid>
      <w:tr w:rsidR="009A7C78" w:rsidTr="00D70034">
        <w:trPr>
          <w:trHeight w:val="3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Tvrdé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49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Organizace má zpracovanou organizační strukturu, kompetence a pracovní náplně jednotlivých pozic, včetně požadavků na nové uchazeče o práci.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50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Organizace má písemně definovaný způsob zavádění nových pracovníků.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51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má stanoven systém pravidelných provozních i klientských porad a jiných pracovních setkání.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Měkké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52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Způsob hodnocení a odměňování pracovníků je motivační a ve prospěch služby.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53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Je zajištěn další odborný růst pracovníků.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49 - Organizace má zpracovanou organizační strukturu, kompetence a pracovní náplně jednotlivých pozic, včetně požadavků na nové uchazeče o práci.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50 - Organizace má písemně definovaný způsob zavádění nových pracovníků.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51 – Služba má stanoven systém pravidelných provozních i klientských porad a jiných pracovních setkání.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52 – Způsob hodnocení a odměňování pracovníků je motivační a ve prospěch služby.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53 - Je zajištěn další odborný růst pracovníků.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OBLAST 9 – ORGANIZAČNÍ, KVALITA A KOMUNIKACE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993"/>
      </w:tblGrid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Měkké</w:t>
            </w: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54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Komunikace uvnitř týmu, v organizaci (vertikálně i horizontálně) je funkční.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55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má pravidelnou supervizi; pracovníci ji vnímají jako bezpečný a účinný nástroj pro sdílení a řešení klientské práce, týmové komunikace a organizačních procesů.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56</w:t>
            </w:r>
          </w:p>
        </w:tc>
        <w:tc>
          <w:tcPr>
            <w:tcW w:w="8221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pravidelně reviduje a reflektuje své metodické postupy.</w:t>
            </w:r>
          </w:p>
        </w:tc>
        <w:tc>
          <w:tcPr>
            <w:tcW w:w="993" w:type="dxa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54 – Komunikace uvnitř týmu, v organizaci (vertikálně i horizontálně) je funkční.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55 – Služba má pravidelnou supervizi; pracovníci ji vnímají jako bezpečný a účinný nástroj pro sdílení a řešení klientské práce, týmové komunikace a organizačních procesů.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56 - Služba pravidelně reviduje a reflektuje své metodické postupy.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OBLAST 10 – KONTAKT A KONTAKTNÍ PRÁCE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9214"/>
      </w:tblGrid>
      <w:tr w:rsidR="009A7C78" w:rsidTr="00D70034">
        <w:trPr>
          <w:trHeight w:val="3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Měkké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3" w:name="_heading=h.3znysh7" w:colFirst="0" w:colLast="0"/>
            <w:bookmarkEnd w:id="3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jsou schopni kontaktu s jakýmkoliv klientem, resp. jsou schopni reflektovat, se kterými klienty je pro ně obtížné navázat kontakt. Pracovníci jdou do kontaktu s klienty.</w:t>
            </w:r>
          </w:p>
        </w:tc>
      </w:tr>
      <w:tr w:rsidR="009A7C78" w:rsidTr="00D70034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reflektují své dovednosti a slabé stránky při kontaktní práci. Pracovníci rozvíjejí postupy a metody, které usnadňují kontakt a vztah.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Komentář, event.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57 – Pracovníci jsou schopni kontaktu s jakýmkoliv klientem, resp. jsou schopni reflektovat, se kterými klienty je pro ně obtížné navázat kontakt. Pracovníci jdou do kontaktu s klienty.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58 - Pracovníci reflektují své dovednosti a slabé stránky při kontaktní práci. Pracovníci rozvíjejí postupy a metody, které usnadňují kontakt a vztah.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" w:name="_heading=h.2et92p0" w:colFirst="0" w:colLast="0"/>
      <w:bookmarkEnd w:id="4"/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OBLAST 11 – DŮVĚRA A VZTAH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9214"/>
      </w:tblGrid>
      <w:tr w:rsidR="009A7C78" w:rsidTr="00D70034">
        <w:trPr>
          <w:trHeight w:val="3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Měkké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59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umí popsat, jak navazují důvěru a vztah s klientem a jak tyto dvě kvality využívají při práci s konkrétním klientem.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Komentář, event.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59 – Pracovníci umí popsat, jak navazují důvěru a vztah s klientem a jak tyto dvě kvality využívají při práci s konkrétním klientem.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OBLAST 12 – HODNOTY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10705" w:type="dxa"/>
        <w:tblInd w:w="35" w:type="dxa"/>
        <w:tblLayout w:type="fixed"/>
        <w:tblLook w:val="0400" w:firstRow="0" w:lastRow="0" w:firstColumn="0" w:lastColumn="0" w:noHBand="0" w:noVBand="1"/>
      </w:tblPr>
      <w:tblGrid>
        <w:gridCol w:w="924"/>
        <w:gridCol w:w="567"/>
        <w:gridCol w:w="9214"/>
      </w:tblGrid>
      <w:tr w:rsidR="009A7C78" w:rsidTr="00D70034">
        <w:trPr>
          <w:trHeight w:val="44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Měkké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7C78" w:rsidRDefault="009A7C78" w:rsidP="00D70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umí popsat, jak služba naplňuje hodnoty ČAS, a uvádějí ke každé hodnotě alespoň jeden konkrétní příklad, kterým dokládají její naplňování.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bookmarkStart w:id="5" w:name="_heading=h.tyjcwt" w:colFirst="0" w:colLast="0"/>
      <w:bookmarkEnd w:id="5"/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lastRenderedPageBreak/>
        <w:t>Komentář, event. doporučení: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60 - Pracovníci umí popsat, jak služba naplňuje hodnoty ČAS, a uvádějí ke každé hodnotě alespoň jeden konkrétní příklad, kterým dokládají její naplňování.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t>SOULAD S HODNOTAMI ČAS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Zařízení poskytuje své služby v souladu s hodnotami ČAS: ANO / NE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Komentář (zdůvodnění hodnocení):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6" w:name="_heading=h.3dy6vkm" w:colFirst="0" w:colLast="0"/>
      <w:bookmarkEnd w:id="6"/>
      <w:r>
        <w:br w:type="page"/>
      </w:r>
    </w:p>
    <w:p w:rsidR="009A7C78" w:rsidRDefault="009A7C78" w:rsidP="009A7C78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lastRenderedPageBreak/>
        <w:t>BODOVÉ A PROCENTUÁLNÍ VYHODNOCENÍ: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4981" w:type="dxa"/>
        <w:tblLayout w:type="fixed"/>
        <w:tblLook w:val="0400" w:firstRow="0" w:lastRow="0" w:firstColumn="0" w:lastColumn="0" w:noHBand="0" w:noVBand="1"/>
      </w:tblPr>
      <w:tblGrid>
        <w:gridCol w:w="4113"/>
        <w:gridCol w:w="868"/>
      </w:tblGrid>
      <w:tr w:rsidR="009A7C78" w:rsidTr="00D70034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Tvrdá kritéria (max.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60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bodů):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A7C78" w:rsidTr="00D70034"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procentuální naplnění: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%</w:t>
            </w:r>
          </w:p>
        </w:tc>
      </w:tr>
      <w:tr w:rsidR="009A7C78" w:rsidTr="00D70034"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Měkká kritéria (bodovaná; max. 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08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):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9A7C78" w:rsidTr="00D70034"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procentuální naplnění: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%</w:t>
            </w:r>
          </w:p>
        </w:tc>
      </w:tr>
      <w:tr w:rsidR="009A7C78" w:rsidTr="00D70034"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Celkem (max. 168 bodů):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A7C78" w:rsidTr="00D70034"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celkové procentuální naplnění: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C78" w:rsidRDefault="009A7C78" w:rsidP="00D70034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%</w:t>
            </w:r>
          </w:p>
        </w:tc>
      </w:tr>
    </w:tbl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7" w:name="_heading=h.1t3h5sf" w:colFirst="0" w:colLast="0"/>
      <w:bookmarkEnd w:id="7"/>
    </w:p>
    <w:p w:rsidR="009A7C78" w:rsidRDefault="009A7C78" w:rsidP="009A7C78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t>TRVALÝ ROZVOJ KVALITY SLUŽEB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(pouze v případě, že se jedná o rozvojový audit zařízení, které žádá o obnovení osvědčení o úspěšném absolvování hodnocení kvality ČAS)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Zařízení trvale rozvíjí kvalitu služeb: ANO / NE (nehodící se škrtněte, nebo smažte)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Komentář (zdůvodnění hodnocení):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8" w:name="_heading=h.4d34og8" w:colFirst="0" w:colLast="0"/>
      <w:bookmarkEnd w:id="8"/>
    </w:p>
    <w:p w:rsidR="009A7C78" w:rsidRDefault="009A7C78" w:rsidP="009A7C78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t>ZÁVĚR ROZVOJOVÉHO AUDITU ČAS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(Vyberte jednu možnost, ostatní smažte)</w:t>
      </w:r>
    </w:p>
    <w:p w:rsidR="009A7C78" w:rsidRDefault="009A7C78" w:rsidP="009A7C78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“Prošel bez připomínky”</w:t>
      </w:r>
      <w:r>
        <w:rPr>
          <w:rFonts w:ascii="Calibri" w:eastAsia="Calibri" w:hAnsi="Calibri" w:cs="Calibri"/>
          <w:color w:val="000000"/>
          <w:sz w:val="22"/>
          <w:szCs w:val="22"/>
        </w:rPr>
        <w:t>. Zařízení naplnilo alespoň 75 % tvrdých kritérií a alespoň 70 % měkkých kritérií a trvale rozvíjí kvalitu svých služeb v souladu s hodnotami ČAS (pouze v případě, že se jedná o rozvojový audit zařízení, které žádá o obnovení osvědčení o úspěšném absolvování hodnocení kvality ČAS).</w:t>
      </w:r>
    </w:p>
    <w:p w:rsidR="009A7C78" w:rsidRDefault="009A7C78" w:rsidP="009A7C78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“Prošel s podmínkou”</w:t>
      </w:r>
      <w:r>
        <w:rPr>
          <w:rFonts w:ascii="Calibri" w:eastAsia="Calibri" w:hAnsi="Calibri" w:cs="Calibri"/>
          <w:color w:val="000000"/>
          <w:sz w:val="22"/>
          <w:szCs w:val="22"/>
        </w:rPr>
        <w:t>. Zařízení naplnilo alespoň 60 % tvrdých kritérií a alespoň 50 % měkkých kritérií a trvale rozvíjí kvalitu svých služeb v souladu s hodnotami ČAS (pouze v případě, že se jedná o rozvojový audit zařízení, které žádá o obnovení osvědčení o úspěšném absolvování hodnocení kvality ČAS).</w:t>
      </w:r>
    </w:p>
    <w:p w:rsidR="009A7C78" w:rsidRDefault="009A7C78" w:rsidP="009A7C78">
      <w:pPr>
        <w:spacing w:after="0" w:line="240" w:lineRule="auto"/>
        <w:ind w:left="34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Zařízení obdrží (na základě vlastního návrhu podaného SR ČAS) osvědčení s podmínkou (viz Příloha č. 10).</w:t>
      </w:r>
    </w:p>
    <w:p w:rsidR="009A7C78" w:rsidRDefault="009A7C78" w:rsidP="009A7C78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„Neprošel”. </w:t>
      </w:r>
      <w:r>
        <w:rPr>
          <w:rFonts w:ascii="Calibri" w:eastAsia="Calibri" w:hAnsi="Calibri" w:cs="Calibri"/>
          <w:color w:val="000000"/>
          <w:sz w:val="22"/>
          <w:szCs w:val="22"/>
        </w:rPr>
        <w:t>Zařízení naplnilo méně než 60 % tvrdých kritérií a/nebo naplnilo méně než 50 % měkkých kritérií a/nebo trvale nerozvíjí kvalitu svých služeb v souladu s hodnotami ČAS (pouze v případě, že se jedná o rozvojový audit zařízení, které žádá o obnovení osvědčení o úspěšném absolvování hodnocení kvality ČAS).</w:t>
      </w:r>
      <w:r>
        <w:br w:type="page"/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lastRenderedPageBreak/>
        <w:t>Nesouhlas pracovníků s vyjádřením hodnotitelů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9" w:name="_heading=h.2s8eyo1" w:colFirst="0" w:colLast="0"/>
      <w:bookmarkEnd w:id="9"/>
      <w:r>
        <w:br w:type="page"/>
      </w:r>
    </w:p>
    <w:p w:rsidR="009A7C78" w:rsidRDefault="009A7C78" w:rsidP="009A7C78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lastRenderedPageBreak/>
        <w:t>CELKOVÉ SHRNUTÍ ROZVOJOVÉHO AUDITU ČAS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[Jedná se o souhrnné hodnocení služby, případně zhodnocení průběhu auditu. Shrnutí by mělo být zaměřeno podle očekávání, které bylo vyjasněno při zahájení. Závěr obsahuje zejména popis dobré praxe v zařízení a hlavní doporučení hodnotitelů (jeden až dva směry, které byly v průběhu auditu pojmenovány jako určující do nejbližší budoucnosti).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Minimální rozsah celkového shrnutí je 1000 znaků</w:t>
      </w:r>
      <w:r>
        <w:rPr>
          <w:rFonts w:ascii="Calibri" w:eastAsia="Calibri" w:hAnsi="Calibri" w:cs="Calibri"/>
          <w:color w:val="000000"/>
          <w:sz w:val="22"/>
          <w:szCs w:val="22"/>
        </w:rPr>
        <w:t>.]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br w:type="page"/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ČESTNÉ PROHLÁŠENÍ HODNOTITELŮ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Já, …………………………………………………………. (jméno a příjmení), hodnotitel kvality České asociace </w:t>
      </w:r>
      <w:proofErr w:type="spellStart"/>
      <w:r>
        <w:rPr>
          <w:rFonts w:ascii="Calibri" w:eastAsia="Calibri" w:hAnsi="Calibri" w:cs="Calibri"/>
          <w:sz w:val="22"/>
          <w:szCs w:val="22"/>
        </w:rPr>
        <w:t>streetwork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tímto čestně prohlašuji a svým podpisem stvrzuji, že všechny skutečnosti, které se dozvím v rámci realizace Rozvojového auditu ČAS v hodnoceném zařízení/organizaci (při studiu metodických postupů, rozhovorech s pracovníky, rozhovorech s klienty, pozorování přímé práce či studiu dokumentace), uchovám v tajnosti a použiji pouze a jenom v procesu Rozvojového auditu ČAS. 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Zároveň čestně prohlašuji, že se ve vykonávané pozici hodnotitele kvality necítím ve střetu zájmů k hodnocené organizaci nebo k některému z jejich zaměstnanců.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Já, …………………………………………………………. (jméno a příjmení), hodnotitel kvality České asociace </w:t>
      </w:r>
      <w:proofErr w:type="spellStart"/>
      <w:r>
        <w:rPr>
          <w:rFonts w:ascii="Calibri" w:eastAsia="Calibri" w:hAnsi="Calibri" w:cs="Calibri"/>
          <w:sz w:val="22"/>
          <w:szCs w:val="22"/>
        </w:rPr>
        <w:t>streetwork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tímto čestně prohlašuji a svým podpisem stvrzuji, že všechny skutečnosti, které se dozvím v rámci realizace Rozvojového auditu ČAS v hodnoceném zařízení/organizaci (při studiu metodických postupů, rozhovorech s pracovníky, rozhovorech s klienty, pozorování přímé práce či studiu dokumentace), uchovám v tajnosti a použiji pouze a jenom v procesu Rozvojového auditu ČAS. 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Zároveň čestně prohlašuji, že se ve vykonávané pozici hodnotitele kvality necítím ve střetu zájmů k hodnocené organizaci nebo k některému z jejich zaměstnanců.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Závěrečná zpráva byla vyhotovena ve 2 výtiscích, z nichž jeden zůstává v zařízení a jeden je hodnotiteli předán České asociaci </w:t>
      </w:r>
      <w:proofErr w:type="spellStart"/>
      <w:r>
        <w:rPr>
          <w:rFonts w:ascii="Calibri" w:eastAsia="Calibri" w:hAnsi="Calibri" w:cs="Calibri"/>
          <w:sz w:val="22"/>
          <w:szCs w:val="22"/>
        </w:rPr>
        <w:t>streetwork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z.s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V případě, že hodnotitelé nestihnou dopsat závěrečnou zprávu, nechávají v zařízení vyplněnou hodnotící tabulku (Příloha </w:t>
      </w:r>
      <w:proofErr w:type="gramStart"/>
      <w:r>
        <w:rPr>
          <w:rFonts w:ascii="Calibri" w:eastAsia="Calibri" w:hAnsi="Calibri" w:cs="Calibri"/>
          <w:sz w:val="22"/>
          <w:szCs w:val="22"/>
        </w:rPr>
        <w:t>8b</w:t>
      </w:r>
      <w:proofErr w:type="gramEnd"/>
      <w:r>
        <w:rPr>
          <w:rFonts w:ascii="Calibri" w:eastAsia="Calibri" w:hAnsi="Calibri" w:cs="Calibri"/>
          <w:sz w:val="22"/>
          <w:szCs w:val="22"/>
        </w:rPr>
        <w:t>).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………..………………………………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Jméno a příjmení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podpis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vedoucího hodnotitelského týmu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………..………………………………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Jméno a příjmení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podpis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člena hodnotitelského týmu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Potvrzení o převzetí Závěrečné zprávy odpovědným vedoucím zařízení: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tabs>
          <w:tab w:val="left" w:pos="216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tabs>
          <w:tab w:val="left" w:pos="2160"/>
        </w:tabs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………..………………………………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Jméno a příjmení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podpis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odpovědného vedoucího zařízení</w:t>
      </w: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9A7C78" w:rsidRDefault="009A7C78" w:rsidP="009A7C7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V ………………………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dne …………………….</w:t>
      </w:r>
    </w:p>
    <w:p w:rsidR="008A7168" w:rsidRPr="008A7168" w:rsidRDefault="008A7168" w:rsidP="0087783A">
      <w:bookmarkStart w:id="10" w:name="_GoBack"/>
      <w:bookmarkEnd w:id="10"/>
    </w:p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82D" w:rsidRDefault="00C1182D" w:rsidP="0087783A">
      <w:r>
        <w:separator/>
      </w:r>
    </w:p>
  </w:endnote>
  <w:endnote w:type="continuationSeparator" w:id="0">
    <w:p w:rsidR="00C1182D" w:rsidRDefault="00C1182D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82D" w:rsidRDefault="00C1182D" w:rsidP="0087783A">
      <w:r>
        <w:separator/>
      </w:r>
    </w:p>
  </w:footnote>
  <w:footnote w:type="continuationSeparator" w:id="0">
    <w:p w:rsidR="00C1182D" w:rsidRDefault="00C1182D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744D"/>
    <w:multiLevelType w:val="multilevel"/>
    <w:tmpl w:val="165298BE"/>
    <w:lvl w:ilvl="0">
      <w:start w:val="1"/>
      <w:numFmt w:val="decimal"/>
      <w:pStyle w:val="Nadpis21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9254E"/>
    <w:rsid w:val="003F145E"/>
    <w:rsid w:val="00521D9D"/>
    <w:rsid w:val="0056679E"/>
    <w:rsid w:val="006638C5"/>
    <w:rsid w:val="0087783A"/>
    <w:rsid w:val="008A7168"/>
    <w:rsid w:val="009207BD"/>
    <w:rsid w:val="009A7C78"/>
    <w:rsid w:val="00C114F1"/>
    <w:rsid w:val="00C1182D"/>
    <w:rsid w:val="00D14D56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customStyle="1" w:styleId="Nadpis21">
    <w:name w:val="Nadpis 21"/>
    <w:basedOn w:val="Normln"/>
    <w:next w:val="Normln"/>
    <w:qFormat/>
    <w:rsid w:val="009A7C78"/>
    <w:pPr>
      <w:numPr>
        <w:numId w:val="1"/>
      </w:numPr>
      <w:pBdr>
        <w:top w:val="single" w:sz="24" w:space="0" w:color="FCE9D0"/>
        <w:left w:val="single" w:sz="24" w:space="0" w:color="FCE9D0"/>
        <w:bottom w:val="single" w:sz="24" w:space="0" w:color="FCE9D0"/>
        <w:right w:val="single" w:sz="24" w:space="0" w:color="FCE9D0"/>
      </w:pBdr>
      <w:shd w:val="clear" w:color="auto" w:fill="FCE9D0"/>
      <w:suppressAutoHyphens/>
      <w:spacing w:before="240" w:after="60"/>
      <w:outlineLvl w:val="0"/>
    </w:pPr>
    <w:rPr>
      <w:b/>
      <w:smallCaps/>
      <w:spacing w:val="15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18E9AB-CB22-477C-B345-164981194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2886</Words>
  <Characters>17030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5</cp:revision>
  <cp:lastPrinted>2019-05-15T13:39:00Z</cp:lastPrinted>
  <dcterms:created xsi:type="dcterms:W3CDTF">2019-05-15T12:59:00Z</dcterms:created>
  <dcterms:modified xsi:type="dcterms:W3CDTF">2022-09-06T11:55:00Z</dcterms:modified>
</cp:coreProperties>
</file>