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A78" w:rsidRDefault="00090A78" w:rsidP="00090A78">
      <w:pPr>
        <w:pStyle w:val="Normln1"/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120" w:line="276" w:lineRule="auto"/>
        <w:jc w:val="both"/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</w:pPr>
      <w:bookmarkStart w:id="0" w:name="_gjdgxs"/>
      <w:bookmarkEnd w:id="0"/>
      <w:r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 xml:space="preserve">PŘÍLOHA Č. 3 – SEZNAM DOKUMENTŮ </w:t>
      </w:r>
    </w:p>
    <w:p w:rsidR="00090A78" w:rsidRDefault="00090A78" w:rsidP="00090A78">
      <w:pPr>
        <w:pStyle w:val="Normln1"/>
        <w:numPr>
          <w:ilvl w:val="0"/>
          <w:numId w:val="1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</w:pBdr>
        <w:shd w:val="clear" w:color="auto" w:fill="FCE9D0"/>
        <w:spacing w:before="240" w:after="60" w:line="276" w:lineRule="auto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 xml:space="preserve">Seznam dokumentů k zaslání předem </w:t>
      </w:r>
    </w:p>
    <w:p w:rsidR="00090A78" w:rsidRDefault="00090A78" w:rsidP="00090A78">
      <w:pPr>
        <w:pStyle w:val="Normln1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Kompletní</w:t>
      </w:r>
      <w:r>
        <w:rPr>
          <w:sz w:val="22"/>
          <w:szCs w:val="22"/>
        </w:rPr>
        <w:t xml:space="preserve"> metodiku služby; RA se zabývá zejména těmito oblastmi: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veřejný závazek – poslání, cíle, cílová skupina a principy poskytovaných služeb;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pravidla pro předcházení situacím, v nichž by v souvislosti s poskytováním sociální služby mohlo dojít k porušení práv klientů;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pravidla pro postup, pokud k porušení práv klientů dojde; 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pravidla, ve kterých jsou vymezeny situace, kdy by mohlo dojít ke střetu zájmů zařízení (pracovníků) se zájmy klientů;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pravidla </w:t>
      </w:r>
      <w:r>
        <w:rPr>
          <w:color w:val="000000" w:themeColor="text1"/>
          <w:sz w:val="22"/>
          <w:szCs w:val="22"/>
        </w:rPr>
        <w:t>pro postup, pokud ke střetu zájmů dojde;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etický kodex organizace/služby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pravidla, podle kterých jsou zájemci informováni o možnostech a podmínkách poskytování sociální služby</w:t>
      </w:r>
      <w:r>
        <w:rPr>
          <w:sz w:val="22"/>
          <w:szCs w:val="22"/>
        </w:rPr>
        <w:t>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pravidla pro postup při odmítnutí zájemce o sociální službu;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pravidla pro uzavírání smlouvy o poskytování sociální služby s ohledem na druh poskytované sociální služby a okruh osob, kterým je určena;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pravidla podle druhu a poslání sociální služby, kterými se řídí plánování procesu poskytování služby;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pravidla podle druhu a poslání sociální služby, kterými se řídí způsob přehodnocování procesu poskytování služby;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pravidla pro zpracování, vedení a evidenci dokumentace o osobách, kterým je sociální služba poskytována;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pravidla pro nahlížení do dokumentace o osobách, kterým je sociální služba poskytována;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pravidla pro podávání a vyřizování stížností klientů na kvalitu nebo způsob poskytování sociální služby;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vnitřní organizační struktura, ve které jsou stanovena oprávnění a povinnosti jednotlivých zaměstnanců;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systém výměny informací mezi zaměstnanci o poskytované sociální službě;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pravidla pro hodnocení a odměňování pracovníků;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pravidla pro další vzdělávání pracovníků; 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pravidla pro přijímání nových pracovníků včetně požadavků na uchazeče na jednotlivé pozice; </w:t>
      </w:r>
    </w:p>
    <w:p w:rsidR="00090A78" w:rsidRDefault="00090A78" w:rsidP="00090A78">
      <w:pPr>
        <w:pStyle w:val="Normln1"/>
        <w:numPr>
          <w:ilvl w:val="1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pravidla pro zaškolování nových pracovníků; </w:t>
      </w:r>
    </w:p>
    <w:p w:rsidR="00090A78" w:rsidRDefault="00090A78" w:rsidP="00090A78">
      <w:pPr>
        <w:pStyle w:val="Normln1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</w:p>
    <w:p w:rsidR="00090A78" w:rsidRDefault="00090A78" w:rsidP="00090A78">
      <w:pPr>
        <w:pStyle w:val="Normln1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popis naplňování hodnot ČAS;</w:t>
      </w:r>
    </w:p>
    <w:p w:rsidR="00090A78" w:rsidRDefault="00090A78" w:rsidP="00090A78">
      <w:pPr>
        <w:pStyle w:val="Normln1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dvě zpracované kasuistiky klientů;</w:t>
      </w:r>
    </w:p>
    <w:p w:rsidR="00090A78" w:rsidRDefault="00090A78" w:rsidP="00090A78">
      <w:pPr>
        <w:pStyle w:val="Normln1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závěrečná zpráva z předchozího rozvojového auditu (pouze v případě, že se jedná o rozvojový audit zařízení, které žádá o obnovení osvědčení o úspěšném absolvování hodnocení kvality ČAS);</w:t>
      </w:r>
    </w:p>
    <w:p w:rsidR="00090A78" w:rsidRDefault="00090A78" w:rsidP="00090A78">
      <w:pPr>
        <w:pStyle w:val="Normln1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bookmarkStart w:id="1" w:name="_30j0zll"/>
      <w:bookmarkEnd w:id="1"/>
      <w:r>
        <w:rPr>
          <w:color w:val="000000" w:themeColor="text1"/>
          <w:sz w:val="22"/>
          <w:szCs w:val="22"/>
        </w:rPr>
        <w:t>plány rozvoje kvality za předchozí období</w:t>
      </w:r>
    </w:p>
    <w:p w:rsidR="00090A78" w:rsidRDefault="00090A78" w:rsidP="00090A78">
      <w:pPr>
        <w:pStyle w:val="Normln1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reflexe Ročního plánu rozvoje kvality (pouze v případě, že se jedná o rozvojový audit zařízení, které žádá o</w:t>
      </w:r>
      <w:r>
        <w:rPr>
          <w:sz w:val="22"/>
          <w:szCs w:val="22"/>
        </w:rPr>
        <w:t xml:space="preserve"> obnovení osvědčení o úspěšném absolvování hodnocení kvality ČAS).</w:t>
      </w:r>
    </w:p>
    <w:p w:rsidR="00090A78" w:rsidRDefault="00090A78" w:rsidP="00090A78">
      <w:pPr>
        <w:pStyle w:val="Normln1"/>
        <w:numPr>
          <w:ilvl w:val="0"/>
          <w:numId w:val="1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</w:pBdr>
        <w:shd w:val="clear" w:color="auto" w:fill="FCE9D0"/>
        <w:spacing w:before="240" w:after="60" w:line="276" w:lineRule="auto"/>
        <w:jc w:val="both"/>
        <w:rPr>
          <w:rFonts w:ascii="Trebuchet MS" w:eastAsia="Trebuchet MS" w:hAnsi="Trebuchet MS" w:cs="Trebuchet MS"/>
          <w:smallCaps/>
          <w:sz w:val="22"/>
          <w:szCs w:val="22"/>
        </w:rPr>
      </w:pPr>
      <w:r>
        <w:rPr>
          <w:rFonts w:ascii="Trebuchet MS" w:eastAsia="Trebuchet MS" w:hAnsi="Trebuchet MS" w:cs="Trebuchet MS"/>
          <w:b/>
          <w:smallCaps/>
          <w:sz w:val="22"/>
          <w:szCs w:val="22"/>
        </w:rPr>
        <w:t>Seznam dokumentů k nahlédnutí v zařízení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evidence uzavřených smluv v zařízení;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evidence práce s uživateli – individuální dokumentace, evidence služeb;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evidence stížností;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seznam veřejných institucí v regionu a seznam veřejných institucí, se kterými zařízení spolupracuje;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pracovní náplně jednotlivých pracovníků;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vzdělávací plány jednotlivých pracovníků.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Hodnocení pracovníků, vzdělávací plány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Zápisy z porad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Dokumentace k supervizi (pouze doklad, že probíhá a jak často, účastníci)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Info letáky s VZ pro CS, event. pro spolupracující instituce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Materiály dokumentující rozvoj služby, pokud ještě nejsou k dispozici plány rozvoje (např. akční plán, vnitřní plánování směřující k rozvoji)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Zápisy z pracovních skupin, komunitního plánování, zápisy z případových konferencí, case </w:t>
      </w:r>
      <w:proofErr w:type="gramStart"/>
      <w:r>
        <w:rPr>
          <w:color w:val="000000" w:themeColor="text1"/>
          <w:sz w:val="22"/>
          <w:szCs w:val="22"/>
        </w:rPr>
        <w:t>managementu - spolupráce</w:t>
      </w:r>
      <w:proofErr w:type="gramEnd"/>
      <w:r>
        <w:rPr>
          <w:color w:val="000000" w:themeColor="text1"/>
          <w:sz w:val="22"/>
          <w:szCs w:val="22"/>
        </w:rPr>
        <w:t xml:space="preserve">, kterou iniciovalo zařízení </w:t>
      </w:r>
    </w:p>
    <w:p w:rsidR="00090A78" w:rsidRDefault="00090A78" w:rsidP="00090A78">
      <w:pPr>
        <w:pStyle w:val="Normln1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Další, dle potřeb hodnotitelů</w:t>
      </w:r>
    </w:p>
    <w:p w:rsidR="008A7168" w:rsidRPr="008A7168" w:rsidRDefault="008A7168" w:rsidP="0087783A">
      <w:bookmarkStart w:id="2" w:name="_GoBack"/>
      <w:bookmarkEnd w:id="2"/>
    </w:p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CF0" w:rsidRDefault="003A7CF0" w:rsidP="0087783A">
      <w:r>
        <w:separator/>
      </w:r>
    </w:p>
  </w:endnote>
  <w:endnote w:type="continuationSeparator" w:id="0">
    <w:p w:rsidR="003A7CF0" w:rsidRDefault="003A7CF0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CF0" w:rsidRDefault="003A7CF0" w:rsidP="0087783A">
      <w:r>
        <w:separator/>
      </w:r>
    </w:p>
  </w:footnote>
  <w:footnote w:type="continuationSeparator" w:id="0">
    <w:p w:rsidR="003A7CF0" w:rsidRDefault="003A7CF0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F7A5A"/>
    <w:multiLevelType w:val="multilevel"/>
    <w:tmpl w:val="2D50DA4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C3E7CA8"/>
    <w:multiLevelType w:val="multilevel"/>
    <w:tmpl w:val="0C8235FC"/>
    <w:lvl w:ilvl="0">
      <w:start w:val="1"/>
      <w:numFmt w:val="decimal"/>
      <w:lvlText w:val="%1."/>
      <w:lvlJc w:val="left"/>
      <w:pPr>
        <w:ind w:left="284" w:hanging="284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90C287B"/>
    <w:multiLevelType w:val="multilevel"/>
    <w:tmpl w:val="477E3EA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090A78"/>
    <w:rsid w:val="0029254E"/>
    <w:rsid w:val="003A7CF0"/>
    <w:rsid w:val="003F145E"/>
    <w:rsid w:val="00521D9D"/>
    <w:rsid w:val="0056679E"/>
    <w:rsid w:val="006638C5"/>
    <w:rsid w:val="0087783A"/>
    <w:rsid w:val="008A7168"/>
    <w:rsid w:val="009207BD"/>
    <w:rsid w:val="00C114F1"/>
    <w:rsid w:val="00D14D56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ormln1">
    <w:name w:val="Normální1"/>
    <w:rsid w:val="00090A78"/>
    <w:rPr>
      <w:rFonts w:ascii="Calibri" w:eastAsia="Calibri" w:hAnsi="Calibri" w:cs="Calibri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4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E1DF45-28AE-423A-87BA-F866998A2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456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2022-09-06T11:46:00Z</dcterms:modified>
</cp:coreProperties>
</file>