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E94" w:rsidRPr="00C60B03" w:rsidRDefault="00CC3E94" w:rsidP="00CC3E94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P</w:t>
      </w:r>
      <w:r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ŘÍLOHA Č. 9</w:t>
      </w:r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 xml:space="preserve"> – PLÁN NÁPRAV (</w:t>
      </w:r>
      <w:r w:rsidR="00CB10C7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služba</w:t>
      </w:r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 xml:space="preserve"> </w:t>
      </w:r>
      <w:r w:rsidR="00CB10C7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 xml:space="preserve">obdržela závěr </w:t>
      </w:r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tzv. „proš</w:t>
      </w:r>
      <w:r w:rsidR="00CB10C7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>el</w:t>
      </w:r>
      <w:r w:rsidRPr="00C60B03">
        <w:rPr>
          <w:rFonts w:asciiTheme="minorHAnsi" w:eastAsia="Trebuchet MS" w:hAnsiTheme="minorHAnsi" w:cs="Trebuchet MS"/>
          <w:b/>
          <w:smallCaps/>
          <w:color w:val="FFFFFF"/>
          <w:sz w:val="22"/>
          <w:szCs w:val="22"/>
        </w:rPr>
        <w:t xml:space="preserve"> s podmínkou“)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Plán náprav podává </w:t>
      </w:r>
      <w:r w:rsidR="00CB10C7">
        <w:rPr>
          <w:rFonts w:asciiTheme="minorHAnsi" w:hAnsiTheme="minorHAnsi"/>
          <w:b/>
          <w:sz w:val="22"/>
          <w:szCs w:val="22"/>
        </w:rPr>
        <w:t>služba</w:t>
      </w:r>
      <w:r w:rsidRPr="00C60B03">
        <w:rPr>
          <w:rFonts w:asciiTheme="minorHAnsi" w:hAnsiTheme="minorHAnsi"/>
          <w:b/>
          <w:sz w:val="22"/>
          <w:szCs w:val="22"/>
        </w:rPr>
        <w:t>, kter</w:t>
      </w:r>
      <w:r w:rsidR="00CB10C7">
        <w:rPr>
          <w:rFonts w:asciiTheme="minorHAnsi" w:hAnsiTheme="minorHAnsi"/>
          <w:b/>
          <w:sz w:val="22"/>
          <w:szCs w:val="22"/>
        </w:rPr>
        <w:t>á</w:t>
      </w:r>
      <w:r w:rsidRPr="00C60B03">
        <w:rPr>
          <w:rFonts w:asciiTheme="minorHAnsi" w:hAnsiTheme="minorHAnsi"/>
          <w:b/>
          <w:sz w:val="22"/>
          <w:szCs w:val="22"/>
        </w:rPr>
        <w:t xml:space="preserve"> </w:t>
      </w:r>
      <w:r w:rsidR="00CB10C7">
        <w:rPr>
          <w:rFonts w:asciiTheme="minorHAnsi" w:hAnsiTheme="minorHAnsi"/>
          <w:b/>
          <w:sz w:val="22"/>
          <w:szCs w:val="22"/>
        </w:rPr>
        <w:t xml:space="preserve">obdržela závěr </w:t>
      </w:r>
      <w:r w:rsidRPr="00C60B03">
        <w:rPr>
          <w:rFonts w:asciiTheme="minorHAnsi" w:hAnsiTheme="minorHAnsi"/>
          <w:b/>
          <w:sz w:val="22"/>
          <w:szCs w:val="22"/>
        </w:rPr>
        <w:t>tzv. „proš</w:t>
      </w:r>
      <w:r w:rsidR="00CB10C7">
        <w:rPr>
          <w:rFonts w:asciiTheme="minorHAnsi" w:hAnsiTheme="minorHAnsi"/>
          <w:b/>
          <w:sz w:val="22"/>
          <w:szCs w:val="22"/>
        </w:rPr>
        <w:t>e</w:t>
      </w:r>
      <w:r w:rsidRPr="00C60B03">
        <w:rPr>
          <w:rFonts w:asciiTheme="minorHAnsi" w:hAnsiTheme="minorHAnsi"/>
          <w:b/>
          <w:sz w:val="22"/>
          <w:szCs w:val="22"/>
        </w:rPr>
        <w:t>l s</w:t>
      </w:r>
      <w:r w:rsidR="00CB10C7">
        <w:rPr>
          <w:rFonts w:asciiTheme="minorHAnsi" w:hAnsiTheme="minorHAnsi"/>
          <w:b/>
          <w:sz w:val="22"/>
          <w:szCs w:val="22"/>
        </w:rPr>
        <w:t> </w:t>
      </w:r>
      <w:r w:rsidRPr="00C60B03">
        <w:rPr>
          <w:rFonts w:asciiTheme="minorHAnsi" w:hAnsiTheme="minorHAnsi"/>
          <w:b/>
          <w:sz w:val="22"/>
          <w:szCs w:val="22"/>
        </w:rPr>
        <w:t>podmínkou</w:t>
      </w:r>
      <w:r w:rsidR="00CB10C7">
        <w:rPr>
          <w:rFonts w:asciiTheme="minorHAnsi" w:hAnsiTheme="minorHAnsi"/>
          <w:b/>
          <w:sz w:val="22"/>
          <w:szCs w:val="22"/>
        </w:rPr>
        <w:t>“</w:t>
      </w:r>
      <w:r w:rsidRPr="00C60B03">
        <w:rPr>
          <w:rFonts w:asciiTheme="minorHAnsi" w:hAnsiTheme="minorHAnsi"/>
          <w:sz w:val="22"/>
          <w:szCs w:val="22"/>
        </w:rPr>
        <w:t>, tedy naplnil</w:t>
      </w:r>
      <w:r w:rsidR="00CB10C7">
        <w:rPr>
          <w:rFonts w:asciiTheme="minorHAnsi" w:hAnsiTheme="minorHAnsi"/>
          <w:sz w:val="22"/>
          <w:szCs w:val="22"/>
        </w:rPr>
        <w:t>a</w:t>
      </w:r>
      <w:r w:rsidRPr="00C60B03">
        <w:rPr>
          <w:rFonts w:asciiTheme="minorHAnsi" w:hAnsiTheme="minorHAnsi"/>
          <w:sz w:val="22"/>
          <w:szCs w:val="22"/>
        </w:rPr>
        <w:t xml:space="preserve"> alespoň 60 % tvrdých kritérií a alespoň 50 % měkkých kritérií, avšak méně než 75 % tvrdých kritérií a/nebo méně než 70 % měkkých kritérií). 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eastAsia="Verdana" w:hAnsiTheme="minorHAnsi"/>
          <w:b/>
          <w:sz w:val="22"/>
          <w:szCs w:val="22"/>
        </w:rPr>
      </w:pPr>
    </w:p>
    <w:p w:rsidR="00CC3E94" w:rsidRPr="00C60B03" w:rsidRDefault="00CB10C7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eastAsia="Verdana" w:hAnsiTheme="minorHAnsi"/>
          <w:b/>
          <w:sz w:val="22"/>
          <w:szCs w:val="22"/>
        </w:rPr>
        <w:t xml:space="preserve">Služba </w:t>
      </w:r>
      <w:r w:rsidR="00CC3E94" w:rsidRPr="00C60B03">
        <w:rPr>
          <w:rFonts w:asciiTheme="minorHAnsi" w:eastAsia="Verdana" w:hAnsiTheme="minorHAnsi"/>
          <w:b/>
          <w:sz w:val="22"/>
          <w:szCs w:val="22"/>
        </w:rPr>
        <w:t>do 30 dní od obdržení Závěrečné zprávy zašle e-mailem</w:t>
      </w:r>
      <w:r w:rsidR="00CC3E94" w:rsidRPr="00C60B03">
        <w:rPr>
          <w:rFonts w:asciiTheme="minorHAnsi" w:eastAsia="Verdana" w:hAnsiTheme="minorHAnsi"/>
          <w:sz w:val="22"/>
          <w:szCs w:val="22"/>
        </w:rPr>
        <w:t xml:space="preserve"> (</w:t>
      </w:r>
      <w:hyperlink r:id="rId7" w:history="1">
        <w:r w:rsidR="00DA1472" w:rsidRPr="00821E3C">
          <w:rPr>
            <w:rStyle w:val="Hypertextovodkaz"/>
            <w:rFonts w:asciiTheme="minorHAnsi" w:hAnsiTheme="minorHAnsi"/>
            <w:sz w:val="22"/>
            <w:szCs w:val="22"/>
          </w:rPr>
          <w:t>kvalita@streetwork.cz</w:t>
        </w:r>
      </w:hyperlink>
      <w:r w:rsidR="00CC3E94" w:rsidRPr="00C60B03">
        <w:rPr>
          <w:rFonts w:asciiTheme="minorHAnsi" w:eastAsia="Verdana" w:hAnsiTheme="minorHAnsi"/>
          <w:sz w:val="22"/>
          <w:szCs w:val="22"/>
        </w:rPr>
        <w:t xml:space="preserve">) Kanceláři ČAS </w:t>
      </w:r>
      <w:r w:rsidR="00CC3E94" w:rsidRPr="00C60B03">
        <w:rPr>
          <w:rFonts w:asciiTheme="minorHAnsi" w:hAnsiTheme="minorHAnsi"/>
          <w:b/>
          <w:sz w:val="22"/>
          <w:szCs w:val="22"/>
        </w:rPr>
        <w:t>vyplněný Plán náprav</w:t>
      </w:r>
      <w:r w:rsidR="00CC3E94" w:rsidRPr="00C60B03">
        <w:rPr>
          <w:rFonts w:asciiTheme="minorHAnsi" w:hAnsiTheme="minorHAnsi"/>
          <w:sz w:val="22"/>
          <w:szCs w:val="22"/>
        </w:rPr>
        <w:t xml:space="preserve"> (viz dále), ve kterém popíše (resp. </w:t>
      </w:r>
      <w:r w:rsidR="00CC3E94" w:rsidRPr="00C60B03">
        <w:rPr>
          <w:rFonts w:asciiTheme="minorHAnsi" w:hAnsiTheme="minorHAnsi"/>
          <w:b/>
          <w:sz w:val="22"/>
          <w:szCs w:val="22"/>
        </w:rPr>
        <w:t>zkopíruje ze Závěrečné zprávy</w:t>
      </w:r>
      <w:r w:rsidR="00CC3E94" w:rsidRPr="00C60B03">
        <w:rPr>
          <w:rFonts w:asciiTheme="minorHAnsi" w:hAnsiTheme="minorHAnsi"/>
          <w:sz w:val="22"/>
          <w:szCs w:val="22"/>
        </w:rPr>
        <w:t xml:space="preserve">) zjištěné </w:t>
      </w:r>
      <w:r w:rsidR="00CC3E94" w:rsidRPr="00C60B03">
        <w:rPr>
          <w:rFonts w:asciiTheme="minorHAnsi" w:hAnsiTheme="minorHAnsi"/>
          <w:b/>
          <w:sz w:val="22"/>
          <w:szCs w:val="22"/>
        </w:rPr>
        <w:t>nedostatky v tvrdých a měkkých kritériích a navržená opatření a v případě měkkých kritérií navržená doporučení</w:t>
      </w:r>
      <w:r w:rsidR="00CC3E94" w:rsidRPr="00C60B03">
        <w:rPr>
          <w:rFonts w:asciiTheme="minorHAnsi" w:hAnsiTheme="minorHAnsi"/>
          <w:sz w:val="22"/>
          <w:szCs w:val="22"/>
        </w:rPr>
        <w:t xml:space="preserve">. </w:t>
      </w:r>
      <w:r w:rsidR="00CC3E94" w:rsidRPr="00C60B03">
        <w:rPr>
          <w:rFonts w:asciiTheme="minorHAnsi" w:hAnsiTheme="minorHAnsi"/>
          <w:b/>
          <w:sz w:val="22"/>
          <w:szCs w:val="22"/>
        </w:rPr>
        <w:t>Do tabulky popíše návrh způsobu odstranění nedostatků a navrhne důkazy, které prokáží jejich odstranění</w:t>
      </w:r>
      <w:r w:rsidR="00CC3E94" w:rsidRPr="00C60B03">
        <w:rPr>
          <w:rFonts w:asciiTheme="minorHAnsi" w:hAnsiTheme="minorHAnsi"/>
          <w:sz w:val="22"/>
          <w:szCs w:val="22"/>
        </w:rPr>
        <w:t xml:space="preserve">. Dále si </w:t>
      </w:r>
      <w:r>
        <w:rPr>
          <w:rFonts w:asciiTheme="minorHAnsi" w:hAnsiTheme="minorHAnsi"/>
          <w:sz w:val="22"/>
          <w:szCs w:val="22"/>
        </w:rPr>
        <w:t>služba</w:t>
      </w:r>
      <w:r w:rsidR="00CC3E94" w:rsidRPr="00C60B03">
        <w:rPr>
          <w:rFonts w:asciiTheme="minorHAnsi" w:hAnsiTheme="minorHAnsi"/>
          <w:sz w:val="22"/>
          <w:szCs w:val="22"/>
        </w:rPr>
        <w:t xml:space="preserve"> stanoví </w:t>
      </w:r>
      <w:r w:rsidR="00CC3E94" w:rsidRPr="00C60B03">
        <w:rPr>
          <w:rFonts w:asciiTheme="minorHAnsi" w:hAnsiTheme="minorHAnsi"/>
          <w:b/>
          <w:sz w:val="22"/>
          <w:szCs w:val="22"/>
        </w:rPr>
        <w:t>lhůtu pro nápravu</w:t>
      </w:r>
      <w:r w:rsidR="00CC3E94" w:rsidRPr="00C60B03">
        <w:rPr>
          <w:rFonts w:asciiTheme="minorHAnsi" w:hAnsiTheme="minorHAnsi"/>
          <w:sz w:val="22"/>
          <w:szCs w:val="22"/>
        </w:rPr>
        <w:t xml:space="preserve">. </w:t>
      </w:r>
      <w:r w:rsidR="00CC3E94" w:rsidRPr="00C60B03">
        <w:rPr>
          <w:rFonts w:asciiTheme="minorHAnsi" w:eastAsia="Verdana" w:hAnsiTheme="minorHAnsi"/>
          <w:sz w:val="22"/>
          <w:szCs w:val="22"/>
        </w:rPr>
        <w:t xml:space="preserve">Lhůta musí odpovídat povaze zjištěných nedostatků; </w:t>
      </w:r>
      <w:r w:rsidR="00CC3E94" w:rsidRPr="00C60B03">
        <w:rPr>
          <w:rFonts w:asciiTheme="minorHAnsi" w:eastAsia="Verdana" w:hAnsiTheme="minorHAnsi"/>
          <w:b/>
          <w:sz w:val="22"/>
          <w:szCs w:val="22"/>
        </w:rPr>
        <w:t>max. 12 měsíců od data obdržení Závěrečné zprávy</w:t>
      </w:r>
      <w:r w:rsidR="00CC3E94" w:rsidRPr="00C60B03">
        <w:rPr>
          <w:rFonts w:asciiTheme="minorHAnsi" w:eastAsia="Verdana" w:hAnsiTheme="minorHAnsi"/>
          <w:sz w:val="22"/>
          <w:szCs w:val="22"/>
        </w:rPr>
        <w:t xml:space="preserve"> z Rozvojového auditu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Kancelář ČAS se k Plánu náprav vyjádří do 14 dnů od jeho zaslání</w:t>
      </w:r>
      <w:r w:rsidRPr="00C60B03">
        <w:rPr>
          <w:rFonts w:asciiTheme="minorHAnsi" w:hAnsiTheme="minorHAnsi"/>
          <w:sz w:val="22"/>
          <w:szCs w:val="22"/>
        </w:rPr>
        <w:t>.</w:t>
      </w:r>
      <w:r w:rsidRPr="00C60B03">
        <w:rPr>
          <w:rFonts w:asciiTheme="minorHAnsi" w:eastAsia="Verdana" w:hAnsiTheme="minorHAnsi"/>
          <w:sz w:val="22"/>
          <w:szCs w:val="22"/>
        </w:rPr>
        <w:t xml:space="preserve"> Po schválení Plánu náprav ho může </w:t>
      </w:r>
      <w:r w:rsidR="00CB10C7">
        <w:rPr>
          <w:rFonts w:asciiTheme="minorHAnsi" w:eastAsia="Verdana" w:hAnsiTheme="minorHAnsi"/>
          <w:sz w:val="22"/>
          <w:szCs w:val="22"/>
        </w:rPr>
        <w:t>služba</w:t>
      </w:r>
      <w:r w:rsidRPr="00C60B03">
        <w:rPr>
          <w:rFonts w:asciiTheme="minorHAnsi" w:eastAsia="Verdana" w:hAnsiTheme="minorHAnsi"/>
          <w:sz w:val="22"/>
          <w:szCs w:val="22"/>
        </w:rPr>
        <w:t xml:space="preserve"> realizovat.</w:t>
      </w:r>
    </w:p>
    <w:p w:rsidR="00CC3E94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eastAsia="Verdana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ind w:firstLine="709"/>
        <w:jc w:val="both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eastAsia="Verdana" w:hAnsiTheme="minorHAnsi"/>
          <w:b/>
          <w:sz w:val="22"/>
          <w:szCs w:val="22"/>
        </w:rPr>
        <w:t>Po uplynutí lhůty pro nápravu předloží Kanceláři ČAS důkazy o nápravě (elektronicky)</w:t>
      </w:r>
      <w:r w:rsidRPr="00C60B03">
        <w:rPr>
          <w:rFonts w:asciiTheme="minorHAnsi" w:eastAsia="Verdana" w:hAnsiTheme="minorHAnsi"/>
          <w:sz w:val="22"/>
          <w:szCs w:val="22"/>
        </w:rPr>
        <w:t xml:space="preserve">. Pracovník Kanceláře </w:t>
      </w:r>
      <w:r w:rsidRPr="00C60B03">
        <w:rPr>
          <w:rFonts w:asciiTheme="minorHAnsi" w:eastAsia="Verdana" w:hAnsiTheme="minorHAnsi"/>
          <w:b/>
          <w:sz w:val="22"/>
          <w:szCs w:val="22"/>
        </w:rPr>
        <w:t>vyhodnotí zaslané důkazy</w:t>
      </w:r>
      <w:r w:rsidRPr="00C60B03">
        <w:rPr>
          <w:rFonts w:asciiTheme="minorHAnsi" w:eastAsia="Verdana" w:hAnsiTheme="minorHAnsi"/>
          <w:sz w:val="22"/>
          <w:szCs w:val="22"/>
        </w:rPr>
        <w:t xml:space="preserve"> a </w:t>
      </w:r>
      <w:r w:rsidRPr="00C60B03">
        <w:rPr>
          <w:rFonts w:asciiTheme="minorHAnsi" w:eastAsia="Verdana" w:hAnsiTheme="minorHAnsi"/>
          <w:b/>
          <w:sz w:val="22"/>
          <w:szCs w:val="22"/>
        </w:rPr>
        <w:t xml:space="preserve">výsledek předloží Správní radě ČAS </w:t>
      </w:r>
      <w:r w:rsidRPr="00C60B03">
        <w:rPr>
          <w:rFonts w:asciiTheme="minorHAnsi" w:eastAsia="Verdana" w:hAnsiTheme="minorHAnsi"/>
          <w:sz w:val="22"/>
          <w:szCs w:val="22"/>
        </w:rPr>
        <w:t>ke schválení. V případě potřeby si může vyžádat stanovisko původních hodnotitelů.</w:t>
      </w:r>
      <w:r w:rsidRPr="00C60B03">
        <w:rPr>
          <w:rFonts w:asciiTheme="minorHAnsi" w:hAnsiTheme="minorHAnsi"/>
          <w:sz w:val="22"/>
          <w:szCs w:val="22"/>
        </w:rPr>
        <w:t xml:space="preserve"> SR posoudí, zda </w:t>
      </w:r>
      <w:r w:rsidR="00CB10C7">
        <w:rPr>
          <w:rFonts w:asciiTheme="minorHAnsi" w:hAnsiTheme="minorHAnsi"/>
          <w:sz w:val="22"/>
          <w:szCs w:val="22"/>
        </w:rPr>
        <w:t xml:space="preserve">služba </w:t>
      </w:r>
      <w:r w:rsidRPr="00C60B03">
        <w:rPr>
          <w:rFonts w:asciiTheme="minorHAnsi" w:hAnsiTheme="minorHAnsi"/>
          <w:sz w:val="22"/>
          <w:szCs w:val="22"/>
        </w:rPr>
        <w:t>odstranil</w:t>
      </w:r>
      <w:r w:rsidR="00CB10C7">
        <w:rPr>
          <w:rFonts w:asciiTheme="minorHAnsi" w:hAnsiTheme="minorHAnsi"/>
          <w:sz w:val="22"/>
          <w:szCs w:val="22"/>
        </w:rPr>
        <w:t>a</w:t>
      </w:r>
      <w:r w:rsidRPr="00C60B03">
        <w:rPr>
          <w:rFonts w:asciiTheme="minorHAnsi" w:hAnsiTheme="minorHAnsi"/>
          <w:sz w:val="22"/>
          <w:szCs w:val="22"/>
        </w:rPr>
        <w:t xml:space="preserve"> nedostatky a zda jsou zaslané důkazy relevantní. V případě neschválení je další postup dohodnut individuálně, ve spolupráci </w:t>
      </w:r>
      <w:r w:rsidR="00B71205">
        <w:rPr>
          <w:rFonts w:asciiTheme="minorHAnsi" w:hAnsiTheme="minorHAnsi"/>
          <w:sz w:val="22"/>
          <w:szCs w:val="22"/>
        </w:rPr>
        <w:t>služba</w:t>
      </w:r>
      <w:r w:rsidRPr="00C60B03">
        <w:rPr>
          <w:rFonts w:asciiTheme="minorHAnsi" w:hAnsiTheme="minorHAnsi"/>
          <w:sz w:val="22"/>
          <w:szCs w:val="22"/>
        </w:rPr>
        <w:t xml:space="preserve"> – Kancelář ČAS – Správní rada</w:t>
      </w:r>
      <w:r w:rsidR="00846DCD">
        <w:rPr>
          <w:rFonts w:asciiTheme="minorHAnsi" w:hAnsiTheme="minorHAnsi"/>
          <w:sz w:val="22"/>
          <w:szCs w:val="22"/>
        </w:rPr>
        <w:t xml:space="preserve"> ČAS</w:t>
      </w:r>
      <w:r w:rsidRPr="00C60B03">
        <w:rPr>
          <w:rFonts w:asciiTheme="minorHAnsi" w:hAnsiTheme="minorHAnsi"/>
          <w:sz w:val="22"/>
          <w:szCs w:val="22"/>
        </w:rPr>
        <w:t>.</w:t>
      </w:r>
    </w:p>
    <w:p w:rsidR="008A7168" w:rsidRDefault="008A7168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b/>
          <w:sz w:val="28"/>
          <w:szCs w:val="28"/>
        </w:rPr>
      </w:pPr>
      <w:r w:rsidRPr="00C60B03">
        <w:rPr>
          <w:rFonts w:asciiTheme="minorHAnsi" w:hAnsiTheme="minorHAnsi"/>
          <w:b/>
          <w:sz w:val="28"/>
          <w:szCs w:val="28"/>
        </w:rPr>
        <w:t>PLÁN NÁPRAV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Název </w:t>
      </w:r>
      <w:r w:rsidR="00B71205">
        <w:rPr>
          <w:rFonts w:asciiTheme="minorHAnsi" w:hAnsiTheme="minorHAnsi"/>
          <w:b/>
          <w:sz w:val="22"/>
          <w:szCs w:val="22"/>
        </w:rPr>
        <w:t>služby</w:t>
      </w:r>
      <w:r w:rsidRPr="00C60B03">
        <w:rPr>
          <w:rFonts w:asciiTheme="minorHAnsi" w:hAnsiTheme="minorHAnsi"/>
          <w:b/>
          <w:sz w:val="22"/>
          <w:szCs w:val="22"/>
        </w:rPr>
        <w:t xml:space="preserve">:   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Registrační číslo: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Odpovědný vedoucí </w:t>
      </w:r>
      <w:r w:rsidR="00B71205">
        <w:rPr>
          <w:rFonts w:asciiTheme="minorHAnsi" w:hAnsiTheme="minorHAnsi"/>
          <w:b/>
          <w:sz w:val="22"/>
          <w:szCs w:val="22"/>
        </w:rPr>
        <w:t>služby</w:t>
      </w:r>
      <w:r w:rsidRPr="00C60B03">
        <w:rPr>
          <w:rFonts w:asciiTheme="minorHAnsi" w:hAnsiTheme="minorHAnsi"/>
          <w:b/>
          <w:sz w:val="22"/>
          <w:szCs w:val="22"/>
        </w:rPr>
        <w:t xml:space="preserve">:      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Rozvojový audit ČAS proběhl dne: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Hodnotitelé: </w:t>
      </w:r>
      <w:r w:rsidRPr="00C60B03">
        <w:rPr>
          <w:rFonts w:asciiTheme="minorHAnsi" w:hAnsiTheme="minorHAnsi"/>
          <w:b/>
          <w:sz w:val="22"/>
          <w:szCs w:val="22"/>
        </w:rPr>
        <w:t xml:space="preserve">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Lhůta pro odstranění nedostatků: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rPr>
          <w:rFonts w:asciiTheme="minorHAnsi" w:hAnsiTheme="minorHAnsi"/>
          <w:b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Bodové hodnocení celkem:</w:t>
      </w:r>
    </w:p>
    <w:tbl>
      <w:tblPr>
        <w:tblW w:w="4972" w:type="dxa"/>
        <w:tblLayout w:type="fixed"/>
        <w:tblLook w:val="0000" w:firstRow="0" w:lastRow="0" w:firstColumn="0" w:lastColumn="0" w:noHBand="0" w:noVBand="0"/>
      </w:tblPr>
      <w:tblGrid>
        <w:gridCol w:w="4114"/>
        <w:gridCol w:w="858"/>
      </w:tblGrid>
      <w:tr w:rsidR="00CC3E94" w:rsidRPr="00C60B03" w:rsidTr="00B9141A"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Tvrdá kritéria (max. </w:t>
            </w:r>
            <w:r w:rsidR="007E657C">
              <w:rPr>
                <w:rFonts w:asciiTheme="minorHAnsi" w:hAnsiTheme="minorHAnsi"/>
                <w:b/>
                <w:sz w:val="22"/>
                <w:szCs w:val="22"/>
              </w:rPr>
              <w:t>69</w:t>
            </w: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  <w:bookmarkStart w:id="1" w:name="_GoBack"/>
        <w:bookmarkEnd w:id="1"/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Měkká kritéria (bodovaná; max. </w:t>
            </w:r>
            <w:r w:rsidR="00DA1472">
              <w:rPr>
                <w:rFonts w:asciiTheme="minorHAnsi" w:hAnsiTheme="minorHAnsi"/>
                <w:b/>
                <w:sz w:val="22"/>
                <w:szCs w:val="22"/>
              </w:rPr>
              <w:t>102</w:t>
            </w: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):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sz w:val="22"/>
                <w:szCs w:val="22"/>
              </w:rPr>
              <w:t xml:space="preserve"> </w:t>
            </w: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Celkem (max. 1</w:t>
            </w:r>
            <w:r w:rsidR="00DA1472">
              <w:rPr>
                <w:rFonts w:asciiTheme="minorHAnsi" w:hAnsiTheme="minorHAnsi"/>
                <w:b/>
                <w:sz w:val="22"/>
                <w:szCs w:val="22"/>
              </w:rPr>
              <w:t>7</w:t>
            </w:r>
            <w:r w:rsidR="007E657C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):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4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2"/>
                <w:szCs w:val="22"/>
              </w:rPr>
            </w:pPr>
            <w:r w:rsidRPr="00C60B03">
              <w:rPr>
                <w:rFonts w:asciiTheme="minorHAnsi" w:hAnsiTheme="minorHAnsi"/>
                <w:sz w:val="22"/>
                <w:szCs w:val="22"/>
              </w:rPr>
              <w:t>procentuální naplnění: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E94" w:rsidRPr="00C60B03" w:rsidRDefault="00CC3E94" w:rsidP="00B9141A">
            <w:pPr>
              <w:pStyle w:val="Normln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rebuchet MS" w:hAnsiTheme="minorHAnsi" w:cs="Trebuchet MS"/>
                <w:sz w:val="22"/>
                <w:szCs w:val="22"/>
              </w:rPr>
            </w:pPr>
            <w:r w:rsidRPr="00C60B03">
              <w:rPr>
                <w:rFonts w:asciiTheme="minorHAnsi" w:eastAsia="Trebuchet MS" w:hAnsiTheme="minorHAnsi" w:cs="Trebuchet MS"/>
                <w:b/>
                <w:sz w:val="22"/>
                <w:szCs w:val="22"/>
              </w:rPr>
              <w:t>%</w:t>
            </w: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Tvrdá kritéria, v nichž </w:t>
      </w:r>
      <w:r w:rsidR="00B71205">
        <w:rPr>
          <w:rFonts w:asciiTheme="minorHAnsi" w:hAnsiTheme="minorHAnsi"/>
          <w:b/>
          <w:sz w:val="22"/>
          <w:szCs w:val="22"/>
        </w:rPr>
        <w:t>služba</w:t>
      </w:r>
      <w:r w:rsidRPr="00C60B03">
        <w:rPr>
          <w:rFonts w:asciiTheme="minorHAnsi" w:hAnsiTheme="minorHAnsi"/>
          <w:b/>
          <w:sz w:val="22"/>
          <w:szCs w:val="22"/>
        </w:rPr>
        <w:t xml:space="preserve"> nenaplnil</w:t>
      </w:r>
      <w:r w:rsidR="00B71205">
        <w:rPr>
          <w:rFonts w:asciiTheme="minorHAnsi" w:hAnsiTheme="minorHAnsi"/>
          <w:b/>
          <w:sz w:val="22"/>
          <w:szCs w:val="22"/>
        </w:rPr>
        <w:t>a</w:t>
      </w:r>
      <w:r w:rsidRPr="00C60B03">
        <w:rPr>
          <w:rFonts w:asciiTheme="minorHAnsi" w:hAnsiTheme="minorHAnsi"/>
          <w:b/>
          <w:sz w:val="22"/>
          <w:szCs w:val="22"/>
        </w:rPr>
        <w:t xml:space="preserve"> bodové hodnocení: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Při soupisu nedostatků vyjděte ze závěrečné zprávy, uveďte tvrdá kritéria, která byla ohodnocena 2 či méně body. Navrhněte způsob odstranění nedostatků a důkaz.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Navržený způsob odstranění nedostatků musí odpovídat povaze zjištěných nedostatků (např. dopracování metodického postupu, způsobu vedení dokumentace apod.)</w:t>
      </w:r>
      <w:r w:rsidR="002E5A95">
        <w:rPr>
          <w:rFonts w:asciiTheme="minorHAnsi" w:hAnsiTheme="minorHAnsi"/>
          <w:sz w:val="22"/>
          <w:szCs w:val="22"/>
        </w:rPr>
        <w:t>.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Důkazy mají prokázat odstranění nedostatků a musí odpovídat povaze zjištěných nedostatků (v případě tvrdých kritérií tedy doložení metodického postupu, dokumentace apod.).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"/>
        <w:gridCol w:w="2005"/>
        <w:gridCol w:w="2005"/>
        <w:gridCol w:w="1983"/>
        <w:gridCol w:w="2234"/>
        <w:gridCol w:w="1910"/>
      </w:tblGrid>
      <w:tr w:rsidR="00CC3E94" w:rsidRPr="00C60B03" w:rsidTr="00B9141A">
        <w:tc>
          <w:tcPr>
            <w:tcW w:w="14142" w:type="dxa"/>
            <w:gridSpan w:val="6"/>
            <w:shd w:val="clear" w:color="auto" w:fill="DEEAF6" w:themeFill="accent5" w:themeFillTint="33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TVRDÁ KRITÉRIA</w:t>
            </w: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Č.</w:t>
            </w: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Komentář hodnotitelů k danému kritériu (zkopírujte ze ZZ)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Opatření</w:t>
            </w: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 hodnotitelů (zkopírujte ze ZZ)</w:t>
            </w: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návrh způsobu odstranění nedostatků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Váš návrh důkazů o odstranění nedostatků 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>(myslete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prosím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proofErr w:type="spellStart"/>
            <w:r w:rsidRPr="00C60B03">
              <w:rPr>
                <w:rFonts w:asciiTheme="minorHAnsi" w:hAnsiTheme="minorHAnsi"/>
                <w:sz w:val="22"/>
                <w:szCs w:val="22"/>
              </w:rPr>
              <w:t>vyhodnotitelnost</w:t>
            </w:r>
            <w:proofErr w:type="spellEnd"/>
            <w:r w:rsidRPr="00C60B03">
              <w:rPr>
                <w:rFonts w:asciiTheme="minorHAnsi" w:hAnsiTheme="minorHAnsi"/>
                <w:sz w:val="22"/>
                <w:szCs w:val="22"/>
              </w:rPr>
              <w:t xml:space="preserve"> zaslaného)</w:t>
            </w: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případný komentář</w:t>
            </w: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39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49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50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 xml:space="preserve">Oblasti, v nichž </w:t>
      </w:r>
      <w:r w:rsidR="002E5A95">
        <w:rPr>
          <w:rFonts w:asciiTheme="minorHAnsi" w:hAnsiTheme="minorHAnsi"/>
          <w:b/>
          <w:sz w:val="22"/>
          <w:szCs w:val="22"/>
        </w:rPr>
        <w:t>služba</w:t>
      </w:r>
      <w:r w:rsidRPr="00C60B03">
        <w:rPr>
          <w:rFonts w:asciiTheme="minorHAnsi" w:hAnsiTheme="minorHAnsi"/>
          <w:b/>
          <w:sz w:val="22"/>
          <w:szCs w:val="22"/>
        </w:rPr>
        <w:t xml:space="preserve"> nenaplnil</w:t>
      </w:r>
      <w:r w:rsidR="002E5A95">
        <w:rPr>
          <w:rFonts w:asciiTheme="minorHAnsi" w:hAnsiTheme="minorHAnsi"/>
          <w:b/>
          <w:sz w:val="22"/>
          <w:szCs w:val="22"/>
        </w:rPr>
        <w:t>a</w:t>
      </w:r>
      <w:r w:rsidRPr="00C60B03">
        <w:rPr>
          <w:rFonts w:asciiTheme="minorHAnsi" w:hAnsiTheme="minorHAnsi"/>
          <w:b/>
          <w:sz w:val="22"/>
          <w:szCs w:val="22"/>
        </w:rPr>
        <w:t xml:space="preserve"> měkká kritéria kvality: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ab/>
      </w:r>
      <w:r w:rsidRPr="00C60B03">
        <w:rPr>
          <w:rFonts w:asciiTheme="minorHAnsi" w:hAnsiTheme="minorHAnsi"/>
          <w:sz w:val="22"/>
          <w:szCs w:val="22"/>
        </w:rPr>
        <w:t>Při soupisu nedostatků vyjděte ze závěrečné zprávy. Uveďte měkká kritéria, která byla ohodnocena 2 či méně body. Navrhněte způsob odstranění nedostatků a důkazy.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Navržený způsob odstranění nedostatků musí odpovídat povaze zjištěných nedostatků (např. dopracování metodického postupu, způsobu vedení dokumentace apod.)</w:t>
      </w:r>
      <w:r w:rsidR="003749A3">
        <w:rPr>
          <w:rFonts w:asciiTheme="minorHAnsi" w:hAnsiTheme="minorHAnsi"/>
          <w:sz w:val="22"/>
          <w:szCs w:val="22"/>
        </w:rPr>
        <w:t>.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4002"/>
        </w:tabs>
        <w:rPr>
          <w:rFonts w:asciiTheme="minorHAnsi" w:hAnsiTheme="minorHAnsi"/>
          <w:b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4002"/>
        </w:tabs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b/>
          <w:sz w:val="22"/>
          <w:szCs w:val="22"/>
        </w:rPr>
        <w:t>Důkaz odstranění nedostatků:</w:t>
      </w:r>
    </w:p>
    <w:p w:rsidR="00CC3E94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 xml:space="preserve">Jako důkaz odstranění nedostatků doloží </w:t>
      </w:r>
      <w:r w:rsidR="002E5A95">
        <w:rPr>
          <w:rFonts w:asciiTheme="minorHAnsi" w:hAnsiTheme="minorHAnsi"/>
          <w:sz w:val="22"/>
          <w:szCs w:val="22"/>
        </w:rPr>
        <w:t>služba</w:t>
      </w:r>
      <w:r w:rsidRPr="00C60B03">
        <w:rPr>
          <w:rFonts w:asciiTheme="minorHAnsi" w:hAnsiTheme="minorHAnsi"/>
          <w:sz w:val="22"/>
          <w:szCs w:val="22"/>
        </w:rPr>
        <w:t xml:space="preserve"> krátkou reflexi ke každé oblasti se sníženým bodovým ohodnocením. V reflexi popíše, jaké podněty audit </w:t>
      </w:r>
      <w:r w:rsidR="002E5A95">
        <w:rPr>
          <w:rFonts w:asciiTheme="minorHAnsi" w:hAnsiTheme="minorHAnsi"/>
          <w:sz w:val="22"/>
          <w:szCs w:val="22"/>
        </w:rPr>
        <w:t>službě</w:t>
      </w:r>
      <w:r w:rsidRPr="00C60B03">
        <w:rPr>
          <w:rFonts w:asciiTheme="minorHAnsi" w:hAnsiTheme="minorHAnsi"/>
          <w:sz w:val="22"/>
          <w:szCs w:val="22"/>
        </w:rPr>
        <w:t xml:space="preserve"> přinesl, jak pracovní tým uvažuje nad vytýkanými nedostatky, jaké změny se v dané oblasti od auditu udály.   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"/>
        <w:gridCol w:w="1991"/>
        <w:gridCol w:w="1992"/>
        <w:gridCol w:w="1969"/>
        <w:gridCol w:w="2220"/>
        <w:gridCol w:w="1896"/>
      </w:tblGrid>
      <w:tr w:rsidR="00CC3E94" w:rsidRPr="00C60B03" w:rsidTr="00B9141A">
        <w:tc>
          <w:tcPr>
            <w:tcW w:w="14142" w:type="dxa"/>
            <w:gridSpan w:val="6"/>
            <w:shd w:val="clear" w:color="auto" w:fill="DEEAF6" w:themeFill="accent5" w:themeFillTint="33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MĚKKÁ KRITÉRIA</w:t>
            </w: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Č.</w:t>
            </w: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Komentář hodnotitelů k danému kritériu (zkopírujte ze ZZ)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Doporučení hodnotitelů (zkopírujte ze ZZ)</w:t>
            </w: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návrh způsobu odstranění nedostatků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 xml:space="preserve">Váš návrh důkazů o odstranění nedostatků 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>(myslete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prosím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60B03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proofErr w:type="spellStart"/>
            <w:r w:rsidRPr="00C60B03">
              <w:rPr>
                <w:rFonts w:asciiTheme="minorHAnsi" w:hAnsiTheme="minorHAnsi"/>
                <w:sz w:val="22"/>
                <w:szCs w:val="22"/>
              </w:rPr>
              <w:t>vyhodnotitelnost</w:t>
            </w:r>
            <w:proofErr w:type="spellEnd"/>
            <w:r w:rsidRPr="00C60B03">
              <w:rPr>
                <w:rFonts w:asciiTheme="minorHAnsi" w:hAnsiTheme="minorHAnsi"/>
                <w:sz w:val="22"/>
                <w:szCs w:val="22"/>
              </w:rPr>
              <w:t xml:space="preserve"> zaslaného)</w:t>
            </w: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60B03">
              <w:rPr>
                <w:rFonts w:asciiTheme="minorHAnsi" w:hAnsiTheme="minorHAnsi"/>
                <w:b/>
                <w:sz w:val="22"/>
                <w:szCs w:val="22"/>
              </w:rPr>
              <w:t>Váš případný komentář</w:t>
            </w: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C3E94" w:rsidRPr="00C60B03" w:rsidTr="00B9141A">
        <w:tc>
          <w:tcPr>
            <w:tcW w:w="534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1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2" w:type="dxa"/>
          </w:tcPr>
          <w:p w:rsidR="00CC3E94" w:rsidRPr="00C60B03" w:rsidRDefault="00CC3E94" w:rsidP="00B914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b/>
          <w:sz w:val="22"/>
          <w:szCs w:val="22"/>
        </w:rPr>
      </w:pPr>
    </w:p>
    <w:p w:rsidR="003749A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Navrhovatel</w:t>
      </w:r>
      <w:r w:rsidRPr="00C60B03">
        <w:rPr>
          <w:rFonts w:asciiTheme="minorHAnsi" w:hAnsiTheme="minorHAnsi"/>
          <w:sz w:val="22"/>
          <w:szCs w:val="22"/>
        </w:rPr>
        <w:tab/>
      </w:r>
    </w:p>
    <w:p w:rsidR="003749A3" w:rsidRDefault="003749A3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</w:r>
      <w:r w:rsidRPr="00C60B03">
        <w:rPr>
          <w:rFonts w:asciiTheme="minorHAnsi" w:hAnsiTheme="minorHAnsi"/>
          <w:sz w:val="22"/>
          <w:szCs w:val="22"/>
        </w:rPr>
        <w:tab/>
        <w:t>Razítko a podpis</w:t>
      </w:r>
    </w:p>
    <w:p w:rsidR="00CC3E94" w:rsidRPr="00C60B03" w:rsidRDefault="00CC3E94" w:rsidP="00CC3E94">
      <w:pPr>
        <w:pStyle w:val="Normln1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/>
          <w:sz w:val="22"/>
          <w:szCs w:val="22"/>
        </w:rPr>
      </w:pPr>
      <w:r w:rsidRPr="00C60B03">
        <w:rPr>
          <w:rFonts w:asciiTheme="minorHAnsi" w:hAnsiTheme="minorHAnsi"/>
          <w:sz w:val="22"/>
          <w:szCs w:val="22"/>
        </w:rPr>
        <w:t>V ……………………… dne ……………….</w:t>
      </w:r>
    </w:p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Default="00CC3E94" w:rsidP="0087783A"/>
    <w:p w:rsidR="00CC3E94" w:rsidRPr="008A7168" w:rsidRDefault="00CC3E94" w:rsidP="0087783A"/>
    <w:sectPr w:rsidR="00CC3E94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5C7" w:rsidRDefault="008F15C7" w:rsidP="0087783A">
      <w:r>
        <w:separator/>
      </w:r>
    </w:p>
  </w:endnote>
  <w:endnote w:type="continuationSeparator" w:id="0">
    <w:p w:rsidR="008F15C7" w:rsidRDefault="008F15C7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5C7" w:rsidRDefault="008F15C7" w:rsidP="0087783A">
      <w:r>
        <w:separator/>
      </w:r>
    </w:p>
  </w:footnote>
  <w:footnote w:type="continuationSeparator" w:id="0">
    <w:p w:rsidR="008F15C7" w:rsidRDefault="008F15C7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2E5A95"/>
    <w:rsid w:val="003749A3"/>
    <w:rsid w:val="003F145E"/>
    <w:rsid w:val="00521D9D"/>
    <w:rsid w:val="005245C4"/>
    <w:rsid w:val="0056679E"/>
    <w:rsid w:val="006638C5"/>
    <w:rsid w:val="007E657C"/>
    <w:rsid w:val="00846DCD"/>
    <w:rsid w:val="0087783A"/>
    <w:rsid w:val="008A7168"/>
    <w:rsid w:val="008E46D9"/>
    <w:rsid w:val="008F15C7"/>
    <w:rsid w:val="009207BD"/>
    <w:rsid w:val="00B71193"/>
    <w:rsid w:val="00B71205"/>
    <w:rsid w:val="00C114F1"/>
    <w:rsid w:val="00C33B3B"/>
    <w:rsid w:val="00CB10C7"/>
    <w:rsid w:val="00CB1B10"/>
    <w:rsid w:val="00CC3E94"/>
    <w:rsid w:val="00D14D56"/>
    <w:rsid w:val="00D7343B"/>
    <w:rsid w:val="00D8777B"/>
    <w:rsid w:val="00DA1472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70109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CC3E94"/>
    <w:rPr>
      <w:rFonts w:ascii="Calibri" w:eastAsia="Calibri" w:hAnsi="Calibri" w:cs="Calibri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3E94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CC3E9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DA1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valita@streetwork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7428BF-5448-4DFD-82B3-83EA4E4C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4</cp:revision>
  <cp:lastPrinted>2019-05-15T13:39:00Z</cp:lastPrinted>
  <dcterms:created xsi:type="dcterms:W3CDTF">2023-10-24T13:42:00Z</dcterms:created>
  <dcterms:modified xsi:type="dcterms:W3CDTF">2024-02-13T21:24:00Z</dcterms:modified>
</cp:coreProperties>
</file>