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CDC" w:rsidRDefault="00FE6B1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4"/>
          <w:szCs w:val="24"/>
        </w:rPr>
      </w:pPr>
      <w:r>
        <w:rPr>
          <w:rFonts w:ascii="Calibri" w:eastAsia="Calibri" w:hAnsi="Calibri" w:cs="Calibri"/>
          <w:b/>
          <w:smallCaps/>
          <w:color w:val="FFFFFF"/>
          <w:sz w:val="24"/>
          <w:szCs w:val="24"/>
        </w:rPr>
        <w:t xml:space="preserve">PŘÍLOHA Č. 7 – ZÁVĚREČNÁ ZPRÁVA ROZVOJOVÉHO AUDITU ČESKÉ ASOCIACE STREETWORK, ČESTNÉ PROHLÁŠENÍ HODNOTITELŮ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4"/>
        <w:tblW w:w="106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2835"/>
        <w:gridCol w:w="5333"/>
      </w:tblGrid>
      <w:tr w:rsidR="00221CDC">
        <w:trPr>
          <w:trHeight w:val="575"/>
        </w:trPr>
        <w:tc>
          <w:tcPr>
            <w:tcW w:w="2518" w:type="dxa"/>
            <w:vMerge w:val="restart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Rozvojový audit ČAS provedl hodnotitelský tým ve složení:</w:t>
            </w:r>
          </w:p>
        </w:tc>
        <w:tc>
          <w:tcPr>
            <w:tcW w:w="2835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Vedoucí hodnotitelského týmu:</w:t>
            </w:r>
          </w:p>
        </w:tc>
        <w:tc>
          <w:tcPr>
            <w:tcW w:w="5333" w:type="dxa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rPr>
          <w:trHeight w:val="574"/>
        </w:trPr>
        <w:tc>
          <w:tcPr>
            <w:tcW w:w="2518" w:type="dxa"/>
            <w:vMerge/>
          </w:tcPr>
          <w:p w:rsidR="00221CDC" w:rsidRDefault="00221C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Člen hodnotitelského týmu:</w:t>
            </w:r>
          </w:p>
        </w:tc>
        <w:tc>
          <w:tcPr>
            <w:tcW w:w="5333" w:type="dxa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2518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Název služby: </w:t>
            </w:r>
          </w:p>
        </w:tc>
        <w:tc>
          <w:tcPr>
            <w:tcW w:w="8168" w:type="dxa"/>
            <w:gridSpan w:val="2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2518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Registrační číslo služby:</w:t>
            </w:r>
          </w:p>
        </w:tc>
        <w:tc>
          <w:tcPr>
            <w:tcW w:w="8168" w:type="dxa"/>
            <w:gridSpan w:val="2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2518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Název zřizovatele služby:</w:t>
            </w:r>
          </w:p>
        </w:tc>
        <w:tc>
          <w:tcPr>
            <w:tcW w:w="8168" w:type="dxa"/>
            <w:gridSpan w:val="2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10686" w:type="dxa"/>
            <w:gridSpan w:val="3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Služba JE/NENÍ členem ČAS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(nehodící se škrtněte, nebo vymažte)</w:t>
            </w:r>
          </w:p>
        </w:tc>
      </w:tr>
      <w:tr w:rsidR="00221CDC">
        <w:tc>
          <w:tcPr>
            <w:tcW w:w="2518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Adresa služby, kde byl proveden rozvojový audit ČAS: </w:t>
            </w:r>
          </w:p>
        </w:tc>
        <w:tc>
          <w:tcPr>
            <w:tcW w:w="8168" w:type="dxa"/>
            <w:gridSpan w:val="2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2518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Odpovědný vedoucí služby:</w:t>
            </w:r>
          </w:p>
        </w:tc>
        <w:tc>
          <w:tcPr>
            <w:tcW w:w="8168" w:type="dxa"/>
            <w:gridSpan w:val="2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2518" w:type="dxa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Datum realizace Rozvojového auditu:</w:t>
            </w:r>
          </w:p>
        </w:tc>
        <w:tc>
          <w:tcPr>
            <w:tcW w:w="8168" w:type="dxa"/>
            <w:gridSpan w:val="2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Výčet dokladů, o které se zjištění hodnotitelů opírá: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Dokumenty služby: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Prohlídka zázemí služby: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Nahlédnutí do dokumentů: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Rozhovor s pracovníky služby: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Rozhovor s klienty služby: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Záznam z pozorování: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Výstupy z vyhodnoc</w:t>
      </w:r>
      <w:bookmarkStart w:id="1" w:name="_GoBack"/>
      <w:bookmarkEnd w:id="1"/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ení ročního plánu rozvoje kvality (pouze v případě, že se jedná o rozvojový audit zařízení, které žádá o obnovení osvědčení o úspěšném absolvování hodnocení kvality ČAS):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sz w:val="22"/>
          <w:szCs w:val="22"/>
          <w:u w:val="single"/>
        </w:rPr>
        <w:t>Závěrečná zpráva z předchozího Rozvojového auditu (pouze v případě, že se jedná o rozvojový audit zařízení, které žádá o obnovení osvědčení o úspěšném absolvování hodnocení kvality ČAS</w:t>
      </w:r>
      <w:proofErr w:type="gramStart"/>
      <w:r>
        <w:rPr>
          <w:rFonts w:ascii="Calibri" w:eastAsia="Calibri" w:hAnsi="Calibri" w:cs="Calibri"/>
          <w:sz w:val="22"/>
          <w:szCs w:val="22"/>
          <w:u w:val="single"/>
        </w:rPr>
        <w:t>):</w:t>
      </w:r>
      <w:r>
        <w:t xml:space="preserve">   </w:t>
      </w:r>
      <w:proofErr w:type="gramEnd"/>
      <w:r>
        <w:t xml:space="preserve">  </w:t>
      </w:r>
      <w:r>
        <w:br w:type="page"/>
      </w:r>
      <w:r>
        <w:rPr>
          <w:rFonts w:ascii="Calibri" w:eastAsia="Calibri" w:hAnsi="Calibri" w:cs="Calibri"/>
          <w:b/>
          <w:smallCaps/>
          <w:sz w:val="22"/>
          <w:szCs w:val="22"/>
        </w:rPr>
        <w:lastRenderedPageBreak/>
        <w:t>POPIS POSKYTOVANÝCH SLUŽEB PODLE KRITÉRIÍ KVALITY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7030A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1 – VEŘEJNÝ ZÁVAZEK                                   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13"/>
        <w:tblW w:w="105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851"/>
      </w:tblGrid>
      <w:tr w:rsidR="00221CDC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Organizace má písemně zpracovaný kompletní VZ (poslání, cílová skupina, cíle, principy).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Veřejný závazek reaguje na potřeby lokality, komunity, zadavatele, organizace a cílové skupiny</w:t>
            </w:r>
            <w:r>
              <w:rPr>
                <w:rFonts w:ascii="Roboto" w:eastAsia="Roboto" w:hAnsi="Roboto" w:cs="Roboto"/>
                <w:sz w:val="21"/>
                <w:szCs w:val="21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Veřejný závazek je formulován srozumitelně pro laickou a odbornou veřejnost i cílovou skupinu služby.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Služba pravidelně hodnotí svůj veřejný závazek a na základě těchto podkladů provádí jeho revizi.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Krátkodobé (dílčí) cíle služby jsou v souladu s veřejným závazkem.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Služby jsou v maximálně možné míře poskytovány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nízkoprahově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. Převažuje terénní forma, místní a časová dostupnost odpovídá potřebám cílové skupiny.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Organizace má písemně zpracovaný kompletní VZ (poslání, cílová skupina, cíle, principy).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trike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 Veřejný závazek reaguje na potřeby lokality, komunity, zadavatele, organizace a cílové skupiny</w:t>
      </w:r>
      <w:r>
        <w:rPr>
          <w:rFonts w:ascii="Roboto" w:eastAsia="Roboto" w:hAnsi="Roboto" w:cs="Roboto"/>
          <w:b/>
          <w:sz w:val="21"/>
          <w:szCs w:val="21"/>
        </w:rPr>
        <w:t>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3 Veřejný závazek je formulován srozumitelně pro laickou </w:t>
      </w:r>
      <w:r>
        <w:rPr>
          <w:rFonts w:ascii="Calibri" w:eastAsia="Calibri" w:hAnsi="Calibri" w:cs="Calibri"/>
          <w:b/>
          <w:sz w:val="22"/>
          <w:szCs w:val="22"/>
        </w:rPr>
        <w:t>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odbornou veřejnost i </w:t>
      </w:r>
      <w:r>
        <w:rPr>
          <w:rFonts w:ascii="Calibri" w:eastAsia="Calibri" w:hAnsi="Calibri" w:cs="Calibri"/>
          <w:b/>
          <w:sz w:val="22"/>
          <w:szCs w:val="22"/>
        </w:rPr>
        <w:t>cílovou skupinu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4 </w:t>
      </w:r>
      <w:r>
        <w:rPr>
          <w:rFonts w:ascii="Calibri" w:eastAsia="Calibri" w:hAnsi="Calibri" w:cs="Calibri"/>
          <w:b/>
          <w:sz w:val="22"/>
          <w:szCs w:val="22"/>
        </w:rPr>
        <w:t xml:space="preserve">Služba pravidelně hodnotí svůj veřejný závazek a na základě těchto podkladů provádí jeho revizi.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Krátkodobé (dílčí) cíle služby jsou v souladu s veřejným závazkem.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Služby jsou v maximálně možné míře poskytovány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nízkoprahově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. P</w:t>
      </w:r>
      <w:r>
        <w:rPr>
          <w:rFonts w:ascii="Calibri" w:eastAsia="Calibri" w:hAnsi="Calibri" w:cs="Calibri"/>
          <w:b/>
          <w:sz w:val="22"/>
          <w:szCs w:val="22"/>
        </w:rPr>
        <w:t>řevažuje terénní forma, místní a časová dostupnost odpovídá potřebám cílové skupiny.</w:t>
      </w:r>
    </w:p>
    <w:p w:rsidR="00221CDC" w:rsidRDefault="00FE6B16">
      <w:pPr>
        <w:spacing w:before="240" w:after="0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221CDC" w:rsidRDefault="00FE6B16">
      <w:pPr>
        <w:spacing w:before="240" w:after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before="240" w:after="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OBLAST 2 – CÍLOVÁ SKUPINA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12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221CDC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Tvrdé </w:t>
            </w:r>
          </w:p>
        </w:tc>
        <w:tc>
          <w:tcPr>
            <w:tcW w:w="567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Metodika obsahuje rozpracované charakteristiky cílové skupiny. Vysvětluje termíny ohrožená rodina a ohrožené dítě v kontextu služby.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Služba má definován postup pro sběr, získávání a předávání informací. Je zřejmé, které informace jsou považovány za významné. Získávání a předávání informací probíhá se souhlasem rodiny, je transparentní. O postupu je rodina prokazatelně informována. Služba má popsáno, jaké informace a v jakých situacích jsou sdíleny i bez souhlasu rodiny.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Pracovníci umí popsat souvislost mezi potřebami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cílové skupiny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službami, které poskytují.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E6B1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operativně reagují nabídkou služeb na aktuální potřeby cílové skupiny, vč. spolupráce s dalšími odbornými službami, zejména s OSPOD. Konkrétní způsob spolupráce je doložitelný v dokumentaci klientů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Služba pracuje s dětmi od 0 do 18 let a pracovníci disponují dovednostmi a adekvátními pomůckami pro práci s dětmi různého věku. 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Část služeb je poskytována rodinám, které nejsou v evidenci OSPOD. Jsou stanoveny způsoby vyhledávání rodin potencionálně ohrožených.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13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Služba má popsáno, jaké služby je možné poskytnout anonymně. 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Metodika obsahuje rozpracované charakteristiky cílové skupiny. Vysvětluje termíny ohrožená rodina</w:t>
      </w:r>
      <w:r>
        <w:rPr>
          <w:rFonts w:ascii="Calibri" w:eastAsia="Calibri" w:hAnsi="Calibri" w:cs="Calibri"/>
          <w:b/>
          <w:sz w:val="22"/>
          <w:szCs w:val="22"/>
        </w:rPr>
        <w:t xml:space="preserve"> 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ohrožené dítě v kontextu služby.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Služba má definován postup pro sběr, získávání a předávání informací. Je zřejmé, které informace jsou považovány za významné. Získávání a předávání informací probíhá se souhlasem rodiny, je transparentní. O postupu je rodina prokazatelně informována. Služba má popsáno, jaké informace a v jakých situacích jsou sdíleny i bez souhlasu rodin</w:t>
      </w:r>
      <w:r>
        <w:rPr>
          <w:rFonts w:ascii="Calibri" w:eastAsia="Calibri" w:hAnsi="Calibri" w:cs="Calibri"/>
          <w:sz w:val="22"/>
          <w:szCs w:val="22"/>
        </w:rPr>
        <w:t>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9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Pracovníci umí popsat souvislost mezi potřebami </w:t>
      </w:r>
      <w:r>
        <w:rPr>
          <w:rFonts w:ascii="Calibri" w:eastAsia="Calibri" w:hAnsi="Calibri" w:cs="Calibri"/>
          <w:b/>
          <w:sz w:val="22"/>
          <w:szCs w:val="22"/>
        </w:rPr>
        <w:t xml:space="preserve">cílové skupiny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 službami, které poskytují.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4" w:name="_heading=h.lp9qzgk1g2o2" w:colFirst="0" w:colLast="0"/>
      <w:bookmarkEnd w:id="4"/>
    </w:p>
    <w:p w:rsidR="00221CDC" w:rsidRPr="00FE6B16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5" w:name="_heading=h.3znysh7" w:colFirst="0" w:colLast="0"/>
      <w:bookmarkEnd w:id="5"/>
      <w:r w:rsidRPr="00FE6B16"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0</w:t>
      </w:r>
      <w:r w:rsidRPr="00FE6B16">
        <w:rPr>
          <w:rFonts w:ascii="Calibri" w:eastAsia="Calibri" w:hAnsi="Calibri" w:cs="Calibri"/>
          <w:b/>
          <w:sz w:val="22"/>
          <w:szCs w:val="22"/>
        </w:rPr>
        <w:t xml:space="preserve"> Pracovníci operativně reagují nabídkou služeb na aktuální potřeby cílové skupiny, vč. spolupráce s dalšími odbornými službami, zejména s OSPOD. Konkrétní způsob spolupráce je doložitelný v dokumentaci klientů.</w:t>
      </w:r>
    </w:p>
    <w:p w:rsidR="00FE6B16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11 Služba pracuje s dětmi od 0 do 18 let a pracovníci disponují dovednostmi a adekvátními pomůckami pro práci s dětmi různého věku.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Část</w:t>
      </w:r>
      <w:r>
        <w:rPr>
          <w:rFonts w:ascii="Calibri" w:eastAsia="Calibri" w:hAnsi="Calibri" w:cs="Calibri"/>
          <w:b/>
          <w:sz w:val="22"/>
          <w:szCs w:val="22"/>
        </w:rPr>
        <w:t xml:space="preserve"> služeb je poskytována rodinám, které nejsou v evidenci OSPOD. Jsou stanoveny způsoby vyhledávání rodin potencionálně ohrožených.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mallCaps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mallCaps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13 Služba má popsáno, jaké služby je možné poskytnout anonymně. 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 xml:space="preserve">:   </w:t>
      </w:r>
      <w:proofErr w:type="gramEnd"/>
      <w:r>
        <w:rPr>
          <w:rFonts w:ascii="Calibri" w:eastAsia="Calibri" w:hAnsi="Calibri" w:cs="Calibri"/>
          <w:smallCaps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3 – PRÁVA KLIENTŮ   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11"/>
        <w:tblW w:w="106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06"/>
        <w:gridCol w:w="567"/>
        <w:gridCol w:w="8221"/>
        <w:gridCol w:w="993"/>
      </w:tblGrid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Práva klientů a pravidla, která v praxi porušování těchto práv účinně zamezují, jsou definována v metodice.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 metodice jsou definovány postupy při porušení práv klientů.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Práva všech členů rodiny jsou naplňována.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Práva a povinnosti jsou ve srozumitelné formě dostupné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všem členům rodiny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vč. dět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í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Definice práv klientů vycházejí z konkrétní praxe zařízení. Pracovníci uvádějí konkrétní situace, ve kterých jsou definovaná práva užitečná pro klienty (jak se projeví ve službě, před čím je chrání).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Pracovníci znají práva dětí a rodičů, mají popsáno, jak pracují, když jsou tato práva v rozporu.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uvádějí příklady porušení práv klient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ů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možné oblasti porušení práv)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včetně jejich proka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zatelného řešení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využívá stížnosti jako nástroj zkvalitnění služby.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Práva klientů a pravidla, která v praxi porušování těchto práv účinně zamezují, jsou definována v metodice.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V metodice jsou definovány postupy při porušení práv klientů.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Práva všech členů rodiny jsou naplňována.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Práva a povinnosti jsou ve srozumitelné formě dostupné </w:t>
      </w:r>
      <w:r>
        <w:rPr>
          <w:rFonts w:ascii="Calibri" w:eastAsia="Calibri" w:hAnsi="Calibri" w:cs="Calibri"/>
          <w:b/>
          <w:sz w:val="22"/>
          <w:szCs w:val="22"/>
        </w:rPr>
        <w:t>všem členům rodiny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vč. dět</w:t>
      </w:r>
      <w:r>
        <w:rPr>
          <w:rFonts w:ascii="Calibri" w:eastAsia="Calibri" w:hAnsi="Calibri" w:cs="Calibri"/>
          <w:b/>
          <w:sz w:val="22"/>
          <w:szCs w:val="22"/>
        </w:rPr>
        <w:t>í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Definice práv klientů vycházejí z konkrétní praxe zařízení. Pracovníci uvádějí konkrétní situace, ve kterých jsou definovaná práva užitečná pro klienty (jak se projeví ve službě, před čím je chrání).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19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Pracovníci znají práva dětí a rodičů, mají popsáno, jak pracují, když jsou tato práva v rozporu.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Pracovníci uvádějí příklady porušení práv klientů (možné oblasti porušení práv) včetně jejich prokazatelného řešení. 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Služba využívá stížnosti jako nástroj zkvalitnění služby.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4 – STŘETY ZÁJMŮ, PROFESNÍ HRANICE A ETICKÁ DILEMATA   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10"/>
        <w:tblW w:w="106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06"/>
        <w:gridCol w:w="567"/>
        <w:gridCol w:w="8221"/>
        <w:gridCol w:w="993"/>
      </w:tblGrid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Definice, příklady a způsoby řešení střetů zájmů jsou součástí metodiky.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Etický kodex je součástí předpisu nebo metodiky organizace a pracovníci se v něm orientují.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Poskytovatel má písemně zpracován postup přijímání darů.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75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Pracovnici rozumí pojmu „střet zájmů“. Dokáží popsat příklady střet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ů zájmů různých aktérů (členů rodiny, SAS, OSPOD, …)  a možnosti práce s nimi.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Pracovníci rozumí práci s hranicemi, uvádí příklady z praxe.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uvádí př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í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klad etických dilemat vznikajících v praxi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služby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znají možnosti jej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 řešení.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Definice, příklady a způsoby řešení střetů zájmů jsou součástí metodiky.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Etický kodex je součástí předpisu nebo metodiky organizace a pracovníci se v něm orientují.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Poskytovatel má písemně zpracován postup přijímání darů.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Pracovnici rozumí pojmu „střet zájmů“. Dokáží popsat i střety zájmů v rodině a možnosti práce s nimi.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Pracovníci rozumí práci s hranicemi, uvádí příklady z praxe.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Pracovníci uvádí </w:t>
      </w:r>
      <w:r>
        <w:rPr>
          <w:rFonts w:ascii="Calibri" w:eastAsia="Calibri" w:hAnsi="Calibri" w:cs="Calibri"/>
          <w:b/>
          <w:sz w:val="22"/>
          <w:szCs w:val="22"/>
        </w:rPr>
        <w:t>příklady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etických dilemat vznikajících v praxi zařízení a znají možnosti </w:t>
      </w:r>
      <w:r>
        <w:rPr>
          <w:rFonts w:ascii="Calibri" w:eastAsia="Calibri" w:hAnsi="Calibri" w:cs="Calibri"/>
          <w:b/>
          <w:sz w:val="22"/>
          <w:szCs w:val="22"/>
        </w:rPr>
        <w:t>jejich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řešení.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OBLAST 5 – PRVNÍ KONTAKT A JEDNÁNÍ SE ZÁJEMCEM O SLUŽBU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9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221CDC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Tvrdé</w:t>
            </w:r>
          </w:p>
        </w:tc>
        <w:tc>
          <w:tcPr>
            <w:tcW w:w="567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28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Služba má stanovený písemný postup jednání se zájemcem o službu, který obsahuje všechny náležitosti, včetně zjišťování, zda je zájemce o službu v nepříznivé sociální situaci. Tato situace je u každého zájemce písemně zaznamenána. Služba neuzavře smlouvu se zájemcem, který není v nepříznivé sociální situaci. 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29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Popis jednání se zájemcem o službu obsahuje situace, kdy je spolupráce doporučená OSPOD. 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30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E6B1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Jednání probíhají se všemi členy rodiny, vč. dětí, je-li to možné. V metodice je uveden postup pro situace, kdy se na službu obrátí samotné dítě.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463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Pracovníci jsou schopni u konkrétní rodiny popsat nepříznivou sociální situaci rodiny, která se vždy vztahuje k dítěti.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Služba disponuje informačními materiály pro děti různého věku a pracovníci umí dětem tyto informace srozumitelně vysvětlit. 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28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Služba má stanovený písemný postup jednání se zájemcem o službu, který obsahuje všechny náležitosti, včetně zjišťování, zda je zájemce o službu v nepříznivé sociální situaci. Tato situace je u každého zájemce písemně zaznamenána. Služba neuzavře smlouvu se zájemcem, který není v nepříznivé sociální situaci.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29 Popis jednání se zájemcem o službu obsahuje situace, kdy je spolupráce doporučená OSPOD. </w:t>
      </w:r>
    </w:p>
    <w:p w:rsidR="00221CDC" w:rsidRDefault="00221CDC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sz w:val="22"/>
          <w:szCs w:val="22"/>
        </w:rPr>
        <w:t xml:space="preserve">0 </w:t>
      </w:r>
      <w:r w:rsidRPr="00FE6B16">
        <w:rPr>
          <w:rFonts w:ascii="Calibri" w:eastAsia="Calibri" w:hAnsi="Calibri" w:cs="Calibri"/>
          <w:b/>
          <w:color w:val="000000"/>
          <w:sz w:val="22"/>
          <w:szCs w:val="22"/>
        </w:rPr>
        <w:t>Jednání probíhají se všemi členy rodiny, vč. dětí, je-li to možné. V metodice je uveden postup pro situace, kdy se na službu obrátí samotné dítě.</w:t>
      </w:r>
    </w:p>
    <w:p w:rsidR="00FE6B16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31 Nepříznivá sociální situace je vždy vztažena k dítěti, je zřejmé, ve kterých oblastech se ho dotýká.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32 Služba disponuje informačními materiály pro děti různého věku a pracovníci umí tyto informace dětem srozumitelně vysvětlit.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OBLAST 6 – SMLOUVY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8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221CDC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Tvrdé </w:t>
            </w:r>
          </w:p>
        </w:tc>
        <w:tc>
          <w:tcPr>
            <w:tcW w:w="567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stanovený písemný postup pro uzavírání, evidenci a ukončování smluv.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shd w:val="clear" w:color="auto" w:fill="E6E6FF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1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trike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Nasmlouvané služby směřují ke zlepšení situace dítěte. </w:t>
            </w:r>
          </w:p>
        </w:tc>
        <w:tc>
          <w:tcPr>
            <w:tcW w:w="993" w:type="dxa"/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35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zavírání smlouvy je vždy přítomen klíčový pracovník.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36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Smlouva je uzavřena na dobu určitou, délka spolupráce odpovídá situaci rodiny. 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Služba má stanovený písemný postup pro uzavírání, evidenci a ukončování smluv.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sz w:val="22"/>
          <w:szCs w:val="22"/>
        </w:rPr>
        <w:t>4 Nasmlou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vané služby směřují ke zlepšení situace dítěte.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35 Uzavírání smlouvy je vždy přítomen klíčový pracovník.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36 Smlouva je uzavřena na dobu určitou, délka spolupráce odpovídá situaci rodiny.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>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7 PRŮBĚH </w:t>
      </w:r>
      <w:r>
        <w:rPr>
          <w:rFonts w:ascii="Calibri" w:eastAsia="Calibri" w:hAnsi="Calibri" w:cs="Calibri"/>
          <w:b/>
          <w:sz w:val="24"/>
          <w:szCs w:val="24"/>
        </w:rPr>
        <w:t>SLUŽBY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sz w:val="22"/>
          <w:szCs w:val="22"/>
        </w:rPr>
      </w:pPr>
    </w:p>
    <w:tbl>
      <w:tblPr>
        <w:tblStyle w:val="7"/>
        <w:tblW w:w="10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495"/>
        <w:gridCol w:w="8190"/>
        <w:gridCol w:w="990"/>
      </w:tblGrid>
      <w:tr w:rsidR="00221CDC">
        <w:trPr>
          <w:trHeight w:val="7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Tvrdé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37</w:t>
            </w:r>
          </w:p>
        </w:tc>
        <w:tc>
          <w:tcPr>
            <w:tcW w:w="8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Organizace má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písemně 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pracovan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é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postupy pro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  <w:p w:rsidR="00221CDC" w:rsidRDefault="00FE6B1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mapování situace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dítěte/rodiny, </w:t>
            </w:r>
          </w:p>
          <w:p w:rsidR="00221CDC" w:rsidRDefault="00FE6B1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vyhodnocení rizik a práci s nimi,</w:t>
            </w:r>
          </w:p>
          <w:p w:rsidR="00221CDC" w:rsidRDefault="00FE6B1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plánování vč. revizí </w:t>
            </w:r>
          </w:p>
          <w:p w:rsidR="00221CDC" w:rsidRDefault="00FE6B1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ukončení službu,</w:t>
            </w:r>
          </w:p>
          <w:p w:rsidR="00221CDC" w:rsidRDefault="00FE6B1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hodnocení efektivity a dopadů.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38</w:t>
            </w:r>
          </w:p>
        </w:tc>
        <w:tc>
          <w:tcPr>
            <w:tcW w:w="8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Služba průběžně mapuje situaci rodiny a dítěte, přičemž se zaměřuje zejména na vyhodnocení rodičovských kompetencí a na míru naplnění potřeb dítěte. Analýza mapování a zjištění deficitů v jednotlivých oblastech se prolíná do cílů/dílčích cílů a do konkrétních poskytovaných služeb. 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39</w:t>
            </w:r>
          </w:p>
        </w:tc>
        <w:tc>
          <w:tcPr>
            <w:tcW w:w="8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Služba pracuje s možnými riziky pro dítě – identifikuje, vyhodnocuje jejich závažnost, poskytované služby směřují k jejich minimalizaci.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40</w:t>
            </w:r>
          </w:p>
        </w:tc>
        <w:tc>
          <w:tcPr>
            <w:tcW w:w="8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Individuální plánování směřuje k naplnění potřeb dítěte. Na plánování se vždy podílí rodina, dítě (dle věku) a další instituce. Individuální plán je vždy v souladu s IPOD dítěte, je-li zpracován. Plán je revidován. 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41</w:t>
            </w:r>
          </w:p>
        </w:tc>
        <w:tc>
          <w:tcPr>
            <w:tcW w:w="8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Je popsán způsob zapojení/participace dětí.  Z dokumentace jsou zřejmé konkrétní případy zapojování dětí. 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42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Metodika obsahuje písemný postup pro situace, kdy je dítě vyhodnoceno jako zanedbávané/zneužívané/týrané.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101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smallCaps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43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Služby směřují ke stavu, kdy dítě může vyrůstat v rodině jsou vytvořeny podmínky pro jeho zdárný rozvoj.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E6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Měkké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44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Z dokumentace je zřejmé, že služba nepřebírá kompetence za rodiče. Rozsah služeb odpovídá rodičovské kapacitě.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45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Pracovníci jsou schopni navázat a udržet kontakt s rodinami, kde jsou přítomna různá omezení (intelekt, duševní onemocnění, smyslové postižení...).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46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Pracovníci ukončení spolupráce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plánují a dokáží popsat, jak uvažují o míře naplnění potřeb dítěte, hodnocení úspěšnosti a naplnění cílů.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47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Služba má vytvořeny mechanismy, jak postupuje v hraničních situacích (např. kdy je dítěti lépe v rodině či mimo ni).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221CDC">
        <w:trPr>
          <w:trHeight w:val="7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221CDC">
            <w:pPr>
              <w:spacing w:before="240" w:after="240" w:line="240" w:lineRule="auto"/>
              <w:jc w:val="both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before="240" w:after="240" w:line="240" w:lineRule="auto"/>
              <w:jc w:val="center"/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48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 situacích, kdy dítě nemůže v rodině zůstat, postupuje služba transparentně a co nejcitlivěji směrem k dítěti.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221CDC" w:rsidRDefault="00FE6B1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sz w:val="24"/>
          <w:szCs w:val="24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37 Organizace má písemně zpracované postupy pro:</w:t>
      </w:r>
    </w:p>
    <w:p w:rsidR="00221CDC" w:rsidRDefault="00FE6B16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mapování situace dítěte/rodiny, </w:t>
      </w:r>
    </w:p>
    <w:p w:rsidR="00221CDC" w:rsidRDefault="00FE6B16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vyhodnocení rizik a práci s nimi,</w:t>
      </w:r>
    </w:p>
    <w:p w:rsidR="00221CDC" w:rsidRDefault="00FE6B16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plánování vč. revizí </w:t>
      </w:r>
    </w:p>
    <w:p w:rsidR="00221CDC" w:rsidRDefault="00FE6B16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ukončení službu,</w:t>
      </w:r>
    </w:p>
    <w:p w:rsidR="00221CDC" w:rsidRDefault="00FE6B16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hodnocení efektivity a dopadů.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38 </w:t>
      </w:r>
      <w:r>
        <w:rPr>
          <w:rFonts w:ascii="Calibri" w:eastAsia="Calibri" w:hAnsi="Calibri" w:cs="Calibri"/>
          <w:b/>
          <w:sz w:val="22"/>
          <w:szCs w:val="22"/>
        </w:rPr>
        <w:t xml:space="preserve">Služba průběžně mapuje situaci rodiny a dítěte, přičemž se zaměřuje zejména na vyhodnocení rodičovských kompetencí a na míru naplnění potřeb dítěte. Analýza mapování a zjištění deficitů v jednotlivých oblastech se prolíná do cílů/dílčích cílů a do konkrétních poskytovaných služeb.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39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Služba pracuje s možnými riziky pro dítě – identifikuje, vyhodnocuje jejich závažnost, poskytované služby směřují k jejich minimalizaci.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40 Individuální plánování směřuje k naplnění potřeb dítěte. Na plánování se vždy podílí rodina, dítě (dle věku) a další instituce. Individuální plán je vždy v souladu s IPOD dítěte, je-li zpracován. Plán je revidován.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41 Je popsán způsob zapojení/participace dětí.  Z dokumentace jsou zřejmé konkrétní případy zapojování dětí. </w:t>
      </w:r>
    </w:p>
    <w:p w:rsidR="00221CDC" w:rsidRDefault="00221CDC">
      <w:pPr>
        <w:spacing w:line="240" w:lineRule="auto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 w:rsidR="008A37D4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 xml:space="preserve"> Metodika obsahuje písemný postup pro situace, kdy je dítě vyhodnoceno jako zanedbávané/zneužívané/týrané. </w:t>
      </w:r>
    </w:p>
    <w:p w:rsidR="00221CDC" w:rsidRDefault="00221CDC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 w:rsidR="008A37D4"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sz w:val="22"/>
          <w:szCs w:val="22"/>
        </w:rPr>
        <w:t xml:space="preserve"> Služby směřují ke stavu, kdy dítě může vyrůstat v rodině jsou vytvořeny podmínky pro jeho zdárný rozvoj. </w:t>
      </w:r>
    </w:p>
    <w:p w:rsidR="00221CDC" w:rsidRDefault="00221CDC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 w:rsidR="008A37D4"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sz w:val="22"/>
          <w:szCs w:val="22"/>
        </w:rPr>
        <w:t xml:space="preserve"> Z dokumentace je zřejmé, že služba nepřebírá kompetence za rodiče. Rozsah služeb odpovídá rodičovské kapacitě.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 w:rsidR="008A37D4"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sz w:val="22"/>
          <w:szCs w:val="22"/>
        </w:rPr>
        <w:t xml:space="preserve"> Pracovníci jsou schopni navázat a udržet kontakt s rodinami, kde jsou přítomna různá omezení (intelekt, duševní onemocnění, smyslové postižení...).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 w:rsidR="008A37D4"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sz w:val="22"/>
          <w:szCs w:val="22"/>
        </w:rPr>
        <w:t xml:space="preserve"> Pracovníci ukončení spolupráce plánují a dokáží popsat, jak uvažují o míře naplnění potřeb dítěte, hodnocení úspěšnosti a naplnění cílů. </w:t>
      </w:r>
    </w:p>
    <w:p w:rsidR="00221CDC" w:rsidRDefault="00221CDC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 w:rsidR="008A37D4"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sz w:val="22"/>
          <w:szCs w:val="22"/>
        </w:rPr>
        <w:t xml:space="preserve"> Služba má vytvořeny mechanismy, jak postupuje v hraničních situacích (např. kdy je dítěti lépe v rodině či mimo ni).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8A37D4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48</w:t>
      </w:r>
      <w:r w:rsidR="00FE6B16">
        <w:rPr>
          <w:rFonts w:ascii="Calibri" w:eastAsia="Calibri" w:hAnsi="Calibri" w:cs="Calibri"/>
          <w:b/>
          <w:sz w:val="22"/>
          <w:szCs w:val="22"/>
        </w:rPr>
        <w:t xml:space="preserve"> V situacích, kdy dítě nemůže v rodině zůstat, postupuje služba transparentně a co nejcitlivěji směrem k dítěti.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8 – PERSONÁLNÍ A ORGANIZAČNÍ  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6"/>
        <w:tblW w:w="107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221CDC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8A3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49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Organizace má zpracovanou organizační strukturu, kompetence a pracovní náplně jednotlivých pozic, včetně požadavků na nové uchazeče o práci.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8A3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Organizace má písemně definovaný způsob zavádění nových pracovníků.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stanoven systém pravidelných provozních i klientských porad a jiných pracovních setkání.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Pracovníci jsou vždy proškoleni v tématech: potřeby dětí, vyhodnocování situace dítěte,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attachment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, syndrom CAN.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Ve služ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ě je alespoň 1 pracovník proškolen ve facilitačních dovednostech.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Způsob hodnocení a odměňování pracovníků je motivační a ve prospěch služby.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Je zajištěn další odborný růst pracovníků.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8A37D4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49</w:t>
      </w:r>
      <w:r w:rsidR="00FE6B16">
        <w:rPr>
          <w:rFonts w:ascii="Calibri" w:eastAsia="Calibri" w:hAnsi="Calibri" w:cs="Calibri"/>
          <w:b/>
          <w:color w:val="000000"/>
          <w:sz w:val="22"/>
          <w:szCs w:val="22"/>
        </w:rPr>
        <w:t xml:space="preserve"> Organizace má zpracovanou organizační strukturu, kompetence a pracovní náplně jednotlivých pozic, včetně požadavků na nové uchazeče o práci.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Organizace má písemně definovaný způsob zavádění nových pracovníků.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Služba má stanoven systém pravidelných provozních i klientských porad a jiných pracovních setkání.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Pracovníci jsou vždy proškoleni v tématech: potřeby dětí, vyhodnocování situace dítěte,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attachment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, syndrom CAN.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Ve služ</w:t>
      </w:r>
      <w:r>
        <w:rPr>
          <w:rFonts w:ascii="Calibri" w:eastAsia="Calibri" w:hAnsi="Calibri" w:cs="Calibri"/>
          <w:b/>
          <w:sz w:val="22"/>
          <w:szCs w:val="22"/>
        </w:rPr>
        <w:t>b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ě je alespoň 1 pracovník proškolen ve facilitačních dovednostech.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Způsob hodnocení a odměňování pracovníků je motivační a ve prospěch služby.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Je zajištěn další odborný růst pracovníků.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9 – ORGANIZAČNÍ, KVALITA A KOMUNIKACE   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5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8221"/>
        <w:gridCol w:w="993"/>
      </w:tblGrid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Měkké</w:t>
            </w: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Komunikace uvnitř týmu, v organizaci (vertikálně i horizontálně) je funkční.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má pravidelnou supervizi; pracovníci ji vnímají jako bezpečný a účinný nástroj pro sdílení a řešení klientské práce, týmové komunikace a organizačních procesů.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21CDC">
        <w:trPr>
          <w:trHeight w:val="340"/>
        </w:trPr>
        <w:tc>
          <w:tcPr>
            <w:tcW w:w="959" w:type="dxa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8221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 pravidelně reviduje a reflektuje své metodické postupy.</w:t>
            </w:r>
          </w:p>
        </w:tc>
        <w:tc>
          <w:tcPr>
            <w:tcW w:w="993" w:type="dxa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 a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Komunikace uvnitř týmu, v organizaci (vertikálně i horizontálně) je funkční.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Služba má pravidelnou supervizi; pracovníci ji vnímají jako bezpečný a účinný nástroj pro sdílení a řešení klientské práce, týmové komunikace a organizačních procesů.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 w:rsidR="008A37D4"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Služba pravidelně reviduje a reflektuje své metodické postupy.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Opatření: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 opatření.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10 – KONTAKT A KONTAKTNÍ PRÁCE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4"/>
        <w:tblW w:w="107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9214"/>
      </w:tblGrid>
      <w:tr w:rsidR="00221CDC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8A3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58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21CDC" w:rsidRDefault="00FE6B16">
            <w:pPr>
              <w:spacing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bookmarkStart w:id="6" w:name="_heading=h.xpros48p79ok" w:colFirst="0" w:colLast="0"/>
            <w:bookmarkEnd w:id="6"/>
            <w:r>
              <w:rPr>
                <w:rFonts w:ascii="Calibri" w:eastAsia="Calibri" w:hAnsi="Calibri" w:cs="Calibri"/>
                <w:sz w:val="22"/>
                <w:szCs w:val="22"/>
              </w:rPr>
              <w:t xml:space="preserve">Pracovníci umí popsat kontaktní práci v rámci SAS. </w:t>
            </w:r>
          </w:p>
        </w:tc>
      </w:tr>
      <w:tr w:rsidR="00221CDC">
        <w:trPr>
          <w:trHeight w:val="3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8A3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reflektují své dovednosti a slabé stránky při kontaktní práci. Pracovníci rozvíjejí postupy a metody, které usnadňují kontakt a vztah.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Komentář, event. doporučení:</w:t>
      </w:r>
    </w:p>
    <w:p w:rsidR="00221CDC" w:rsidRDefault="008A37D4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58</w:t>
      </w:r>
      <w:r w:rsidR="00FE6B16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FE6B16">
        <w:rPr>
          <w:rFonts w:ascii="Calibri" w:eastAsia="Calibri" w:hAnsi="Calibri" w:cs="Calibri"/>
          <w:b/>
          <w:sz w:val="22"/>
          <w:szCs w:val="22"/>
        </w:rPr>
        <w:t>Pracovníci umí popsat kontaktní práci v rámci SAS.</w:t>
      </w:r>
    </w:p>
    <w:p w:rsidR="00221CDC" w:rsidRDefault="00221CDC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21CDC" w:rsidRDefault="008A37D4">
      <w:pPr>
        <w:spacing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59</w:t>
      </w:r>
      <w:r w:rsidR="00FE6B16"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Pracovníci reflektují své dovednosti a slabé stránky při kontaktní práci. Pracovníci rozvíjejí postupy a metody, které usnadňují kontakt a vztah.</w:t>
      </w:r>
    </w:p>
    <w:p w:rsidR="00221CDC" w:rsidRDefault="00221CDC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bookmarkStart w:id="7" w:name="_heading=h.2et92p0" w:colFirst="0" w:colLast="0"/>
      <w:bookmarkEnd w:id="7"/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OBLAST 11 – DŮVĚRA A VZTAH           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tbl>
      <w:tblPr>
        <w:tblStyle w:val="3"/>
        <w:tblW w:w="107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9"/>
        <w:gridCol w:w="567"/>
        <w:gridCol w:w="9214"/>
      </w:tblGrid>
      <w:tr w:rsidR="00221CDC">
        <w:trPr>
          <w:trHeight w:val="3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Měkké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Pracovníci umí popsat, jak navazují důvěru a vztah s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rodinou - jejími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jednotlivými členy a jak tyto dvě kvality využívají při práci. Pracovníci dokáží popsat různé fáze vývoje vztahu (podpůrné x kontrolní intervence) s rodinou a rovněž to, jak pracují s odporem.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Komentář, event. doporučení: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6</w:t>
      </w:r>
      <w:r w:rsidR="008A37D4">
        <w:rPr>
          <w:rFonts w:ascii="Calibri" w:eastAsia="Calibri" w:hAnsi="Calibri" w:cs="Calibri"/>
          <w:b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 xml:space="preserve"> Pracovníci umí popsat, jak navazují důvěru a vztah s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rodinou - jejími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jednotlivými členy a jak tyto dvě kvality využívají při práci. Pracovníci dokáží popsat různé fáze vývoje vztahu (podpůrné x kontrolní intervence) s rodinou a rovněž to, jak pracují s odporem.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OBLAST 12 – HODNOTY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2"/>
        <w:tblW w:w="10705" w:type="dxa"/>
        <w:tblInd w:w="35" w:type="dxa"/>
        <w:tblLayout w:type="fixed"/>
        <w:tblLook w:val="0400" w:firstRow="0" w:lastRow="0" w:firstColumn="0" w:lastColumn="0" w:noHBand="0" w:noVBand="1"/>
      </w:tblPr>
      <w:tblGrid>
        <w:gridCol w:w="924"/>
        <w:gridCol w:w="567"/>
        <w:gridCol w:w="9214"/>
      </w:tblGrid>
      <w:tr w:rsidR="00221CDC">
        <w:trPr>
          <w:trHeight w:val="44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 xml:space="preserve">Měkké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Pracovníci umí popsat, jak služba naplňuje hodnoty ČAS, a uvádějí ke každé hodnotě alespoň jeden konkrétní příklad, kterým dokládají její naplňování.</w:t>
            </w:r>
          </w:p>
        </w:tc>
      </w:tr>
      <w:tr w:rsidR="00221CDC">
        <w:trPr>
          <w:trHeight w:val="44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CDC" w:rsidRDefault="00221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 w:rsidR="008A37D4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1CDC" w:rsidRDefault="00FE6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 pracovníky služby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je vždy hlavní hodnotou nejlepší zájem dítěte.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Umí vysvětlit pojem nejlepší zájem dítěte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umí zjistit názor dítěte, umí určit jeho zájem, umí se rozhodovat v případě střetu zájmů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bookmarkStart w:id="8" w:name="_heading=h.tyjcwt" w:colFirst="0" w:colLast="0"/>
      <w:bookmarkEnd w:id="8"/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Komentář, event. doporučení: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6</w:t>
      </w:r>
      <w:r w:rsidR="008A37D4"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Pracovníci umí popsat, jak služba naplňuje hodnoty ČAS, a uvádějí ke každé hodnotě alespoň jeden konkrétní příklad, kterým dokládají její naplňování.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FE6B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6</w:t>
      </w:r>
      <w:r w:rsidR="008A37D4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Pro službu je vždy hlavní hodnotou nejlepší zájem dítěte. </w:t>
      </w:r>
      <w:r>
        <w:rPr>
          <w:rFonts w:ascii="Calibri" w:eastAsia="Calibri" w:hAnsi="Calibri" w:cs="Calibri"/>
          <w:b/>
          <w:sz w:val="22"/>
          <w:szCs w:val="22"/>
        </w:rPr>
        <w:t>Umí vysvětlit pojem nejlepší zájem dítěte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umí zjistit názor dítěte, umí určit jeho zájem, umí se rozhodovat v případě střetu zájmů</w:t>
      </w:r>
      <w:r>
        <w:rPr>
          <w:rFonts w:ascii="Calibri" w:eastAsia="Calibri" w:hAnsi="Calibri" w:cs="Calibri"/>
          <w:b/>
          <w:sz w:val="22"/>
          <w:szCs w:val="22"/>
        </w:rPr>
        <w:t>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SOULAD S HODNOTAMI ČAS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Zařízení poskytuje své služby v souladu s hodnotami ČAS: ANO / NE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Komentář (zdůvodnění hodnocení):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9" w:name="_heading=h.3dy6vkm" w:colFirst="0" w:colLast="0"/>
      <w:bookmarkEnd w:id="9"/>
      <w:r>
        <w:br w:type="page"/>
      </w:r>
    </w:p>
    <w:p w:rsidR="00221CDC" w:rsidRDefault="00FE6B1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lastRenderedPageBreak/>
        <w:t>BODOVÉ A PROCENTUÁLNÍ VYHODNOCENÍ: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1"/>
        <w:tblW w:w="498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113"/>
        <w:gridCol w:w="868"/>
      </w:tblGrid>
      <w:tr w:rsidR="00221CDC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bookmarkStart w:id="10" w:name="_heading=h.17dp8vu" w:colFirst="0" w:colLast="0"/>
            <w:bookmarkEnd w:id="10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Tvrdá kritéria (max. </w:t>
            </w:r>
            <w:r w:rsidR="007E7C3F">
              <w:rPr>
                <w:rFonts w:ascii="Calibri" w:eastAsia="Calibri" w:hAnsi="Calibri" w:cs="Calibri"/>
                <w:b/>
                <w:sz w:val="22"/>
                <w:szCs w:val="22"/>
              </w:rPr>
              <w:t>69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bodů):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procentuální naplnění: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221CDC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Měkká kritéria (bodovaná; max. 102):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221CDC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procentuální naplnění: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221CDC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Celkem (max. 17</w:t>
            </w:r>
            <w:r w:rsidR="007E7C3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bodů):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CDC" w:rsidRDefault="00221CDC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21CDC">
        <w:tc>
          <w:tcPr>
            <w:tcW w:w="4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celkové procentuální naplnění: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CDC" w:rsidRDefault="00FE6B16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%</w:t>
            </w:r>
          </w:p>
        </w:tc>
      </w:tr>
    </w:tbl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1" w:name="_heading=h.1t3h5sf" w:colFirst="0" w:colLast="0"/>
      <w:bookmarkEnd w:id="11"/>
    </w:p>
    <w:p w:rsidR="00221CDC" w:rsidRDefault="00FE6B1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TRVALÝ ROZVOJ KVALITY SLUŽEB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(pouze v případě, že se jedná o rozvojový audit zařízení, které žádá o obnovení osvědčení o úspěšném absolvování hodnocení kvality ČAS)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Zařízení trvale rozvíjí kvalitu služeb: ANO / NE (nehodící se škrtněte, nebo smažte)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Komentář (zdůvodnění hodnocení):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2" w:name="_heading=h.4d34og8" w:colFirst="0" w:colLast="0"/>
      <w:bookmarkEnd w:id="12"/>
    </w:p>
    <w:p w:rsidR="00221CDC" w:rsidRDefault="00FE6B1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ZÁVĚR ROZVOJOVÉHO AUDITU ČAS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(Vyberte jednu možnost, ostatní smažte)</w:t>
      </w:r>
    </w:p>
    <w:p w:rsidR="00221CDC" w:rsidRDefault="00FE6B1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“Prošel bez připomínky”</w:t>
      </w:r>
      <w:r>
        <w:rPr>
          <w:rFonts w:ascii="Calibri" w:eastAsia="Calibri" w:hAnsi="Calibri" w:cs="Calibri"/>
          <w:color w:val="000000"/>
          <w:sz w:val="22"/>
          <w:szCs w:val="22"/>
        </w:rPr>
        <w:t>. Zařízení naplnilo alespoň 75 % tvrdých kritérií a alespoň 70 % měkkých kritérií a trvale rozvíjí kvalitu svých služeb v souladu s hodnotami ČAS (pouze v případě, že se jedná o rozvojový audit zařízení, které žádá o obnovení osvědčení o úspěšném absolvování hodnocení kvality ČAS).</w:t>
      </w:r>
    </w:p>
    <w:p w:rsidR="00221CDC" w:rsidRDefault="00FE6B1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“Prošel s podmínkou”</w:t>
      </w:r>
      <w:r>
        <w:rPr>
          <w:rFonts w:ascii="Calibri" w:eastAsia="Calibri" w:hAnsi="Calibri" w:cs="Calibri"/>
          <w:color w:val="000000"/>
          <w:sz w:val="22"/>
          <w:szCs w:val="22"/>
        </w:rPr>
        <w:t>. Zařízení naplnilo alespoň 60 % tvrdých kritérií a alespoň 50 % měkkých kritérií a trvale rozvíjí kvalitu svých služeb v souladu s hodnotami ČAS (pouze v případě, že se jedná o rozvojový audit zařízení, které žádá o obnovení osvědčení o úspěšném absolvování hodnocení kvality ČAS).</w:t>
      </w:r>
    </w:p>
    <w:p w:rsidR="00221CDC" w:rsidRDefault="00FE6B16">
      <w:pPr>
        <w:spacing w:after="0" w:line="240" w:lineRule="auto"/>
        <w:ind w:left="34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Zařízení obdrží (na základě vlastního návrhu podaného SR ČAS) osvědčení s podmínkou (viz Příloha č. 10).</w:t>
      </w:r>
    </w:p>
    <w:p w:rsidR="00221CDC" w:rsidRDefault="00FE6B1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„Neprošel”. </w:t>
      </w:r>
      <w:r>
        <w:rPr>
          <w:rFonts w:ascii="Calibri" w:eastAsia="Calibri" w:hAnsi="Calibri" w:cs="Calibri"/>
          <w:color w:val="000000"/>
          <w:sz w:val="22"/>
          <w:szCs w:val="22"/>
        </w:rPr>
        <w:t>Zařízení naplnilo méně než 60 % tvrdých kritérií a/nebo naplnilo méně než 50 % měkkých kritérií a/nebo trvale nerozvíjí kvalitu svých služeb v souladu s hodnotami ČAS (pouze v případě, že se jedná o rozvojový audit zařízení, které žádá o obnovení osvědčení o úspěšném absolvování hodnocení kvality ČAS).</w:t>
      </w:r>
      <w:r>
        <w:br w:type="page"/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lastRenderedPageBreak/>
        <w:t>Nesouhlas pracovníků s vyjádřením hodnotitelů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3" w:name="_heading=h.2s8eyo1" w:colFirst="0" w:colLast="0"/>
      <w:bookmarkEnd w:id="13"/>
      <w:r>
        <w:br w:type="page"/>
      </w:r>
    </w:p>
    <w:p w:rsidR="00221CDC" w:rsidRDefault="00FE6B1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0" w:line="240" w:lineRule="auto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lastRenderedPageBreak/>
        <w:t>CELKOVÉ SHRNUTÍ ROZVOJOVÉHO AUDITU ČAS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[Jedná se o souhrnné hodnocení služby, případně zhodnocení průběhu auditu. Shrnutí by mělo být zaměřeno podle očekávání, které bylo vyjasněno při zahájení. Závěr obsahuje zejména popis dobré praxe v zařízení a hlavní doporučení hodnotitelů (jeden až dva směry, které byly v průběhu auditu pojmenovány jako určující do nejbližší budoucnosti).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Minimální rozsah celkového shrnutí je 1000 znaků</w:t>
      </w:r>
      <w:r>
        <w:rPr>
          <w:rFonts w:ascii="Calibri" w:eastAsia="Calibri" w:hAnsi="Calibri" w:cs="Calibri"/>
          <w:color w:val="000000"/>
          <w:sz w:val="22"/>
          <w:szCs w:val="22"/>
        </w:rPr>
        <w:t>.]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ČESTNÉ PROHLÁŠENÍ HODNOTITELŮ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Já, …………………………………………………………. (jméno a příjmení), hodnotitel kvality České asociace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tímto čestně prohlašuji a svým podpisem stvrzuji, že všechny skutečnosti, které se dozvím v rámci realizace Rozvojového auditu ČAS v hodnoceném zařízení/organizaci (při studiu metodických postupů, rozhovorech s pracovníky, rozhovorech s klienty, pozorování přímé práce či studiu dokumentace), uchovám v tajnosti a použiji pouze a jenom v procesu Rozvojového auditu ČAS.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Zároveň čestně prohlašuji, že se ve vykonávané pozici hodnotitele kvality necítím ve střetu zájmů k hodnocené organizaci nebo k některému z jejich zaměstnanců.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Já, …………………………………………………………. (jméno a příjmení), hodnotitel kvality České asociace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tímto čestně prohlašuji a svým podpisem stvrzuji, že všechny skutečnosti, které se dozvím v rámci realizace Rozvojového auditu ČAS v hodnoceném zařízení/organizaci (při studiu metodických postupů, rozhovorech s pracovníky, rozhovorech s klienty, pozorování přímé práce či studiu dokumentace), uchovám v tajnosti a použiji pouze a jenom v procesu Rozvojového auditu ČAS. 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Zároveň čestně prohlašuji, že se ve vykonávané pozici hodnotitele kvality necítím ve střetu zájmů k hodnocené organizaci nebo k některému z jejich zaměstnanců.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Závěrečná zpráva byla vyhotovena ve 2 výtiscích, z nichž jeden zůstává v zařízení a jeden je hodnotiteli předán České asociaci </w:t>
      </w:r>
      <w:proofErr w:type="spellStart"/>
      <w:r>
        <w:rPr>
          <w:rFonts w:ascii="Calibri" w:eastAsia="Calibri" w:hAnsi="Calibri" w:cs="Calibri"/>
          <w:sz w:val="22"/>
          <w:szCs w:val="22"/>
        </w:rPr>
        <w:t>streetwork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z.s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V případě, že hodnotitelé nestihnou dopsat závěrečnou zprávu, nechávají v zařízení vyplněnou hodnotící tabulku (Příloha </w:t>
      </w:r>
      <w:proofErr w:type="gramStart"/>
      <w:r>
        <w:rPr>
          <w:rFonts w:ascii="Calibri" w:eastAsia="Calibri" w:hAnsi="Calibri" w:cs="Calibri"/>
          <w:sz w:val="22"/>
          <w:szCs w:val="22"/>
        </w:rPr>
        <w:t>8b</w:t>
      </w:r>
      <w:proofErr w:type="gramEnd"/>
      <w:r>
        <w:rPr>
          <w:rFonts w:ascii="Calibri" w:eastAsia="Calibri" w:hAnsi="Calibri" w:cs="Calibri"/>
          <w:sz w:val="22"/>
          <w:szCs w:val="22"/>
        </w:rPr>
        <w:t>).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………..………………………………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vedoucího hodnotitelského týmu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………..………………………………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člena hodnotitelského týmu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Potvrzení o převzetí Závěrečné zprávy odpovědným vedoucím zařízení: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tabs>
          <w:tab w:val="left" w:pos="216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tabs>
          <w:tab w:val="left" w:pos="2160"/>
        </w:tabs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………..………………………………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Jméno a příjmení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podpis</w:t>
      </w: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odpovědného vedoucího zařízení</w:t>
      </w: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221CDC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221CDC" w:rsidRDefault="00FE6B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 ………………………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dne …………………….</w:t>
      </w:r>
    </w:p>
    <w:sectPr w:rsidR="00221CDC">
      <w:headerReference w:type="default" r:id="rId8"/>
      <w:pgSz w:w="11906" w:h="16838"/>
      <w:pgMar w:top="2551" w:right="680" w:bottom="1984" w:left="680" w:header="680" w:footer="1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1EB" w:rsidRDefault="003611EB" w:rsidP="003B6801">
      <w:pPr>
        <w:spacing w:after="0" w:line="240" w:lineRule="auto"/>
      </w:pPr>
      <w:r>
        <w:separator/>
      </w:r>
    </w:p>
  </w:endnote>
  <w:endnote w:type="continuationSeparator" w:id="0">
    <w:p w:rsidR="003611EB" w:rsidRDefault="003611EB" w:rsidP="003B6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1EB" w:rsidRDefault="003611EB" w:rsidP="003B6801">
      <w:pPr>
        <w:spacing w:after="0" w:line="240" w:lineRule="auto"/>
      </w:pPr>
      <w:r>
        <w:separator/>
      </w:r>
    </w:p>
  </w:footnote>
  <w:footnote w:type="continuationSeparator" w:id="0">
    <w:p w:rsidR="003611EB" w:rsidRDefault="003611EB" w:rsidP="003B6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801" w:rsidRDefault="00D30C17">
    <w:pPr>
      <w:pStyle w:val="Zhlav"/>
    </w:pPr>
    <w:r>
      <w:t xml:space="preserve">                                                                                                                                </w:t>
    </w:r>
    <w:r w:rsidR="003B6801">
      <w:rPr>
        <w:noProof/>
      </w:rPr>
      <w:drawing>
        <wp:inline distT="0" distB="0" distL="0" distR="0" wp14:anchorId="03B2E16E" wp14:editId="007EDDFB">
          <wp:extent cx="2146935" cy="629274"/>
          <wp:effectExtent l="0" t="0" r="0" b="0"/>
          <wp:docPr id="3" name="Obrázek 3" descr="logo-streetwork_cz-horizontal.png (2320×680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streetwork_cz-horizontal.png (2320×680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3686" cy="660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94EF0"/>
    <w:multiLevelType w:val="multilevel"/>
    <w:tmpl w:val="24669E8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1E7059"/>
    <w:multiLevelType w:val="multilevel"/>
    <w:tmpl w:val="9850CB7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CDC"/>
    <w:rsid w:val="00221CDC"/>
    <w:rsid w:val="003611EB"/>
    <w:rsid w:val="003B6801"/>
    <w:rsid w:val="007E7C3F"/>
    <w:rsid w:val="008A37D4"/>
    <w:rsid w:val="00D30C17"/>
    <w:rsid w:val="00D67E3F"/>
    <w:rsid w:val="00FE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AF21A"/>
  <w15:docId w15:val="{0E5045ED-9999-46DF-A210-CD205009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pBdr>
        <w:top w:val="nil"/>
        <w:left w:val="nil"/>
        <w:bottom w:val="nil"/>
        <w:right w:val="nil"/>
        <w:between w:val="nil"/>
      </w:pBdr>
      <w:spacing w:line="264" w:lineRule="auto"/>
      <w:outlineLvl w:val="0"/>
    </w:pPr>
    <w:rPr>
      <w:rFonts w:ascii="Arial" w:eastAsia="Arial" w:hAnsi="Arial" w:cs="Arial"/>
      <w:b/>
      <w:color w:val="000000"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  <w:between w:val="nil"/>
      </w:pBdr>
      <w:shd w:val="clear" w:color="auto" w:fill="FCE9D0"/>
      <w:spacing w:before="240" w:after="60"/>
      <w:outlineLvl w:val="1"/>
    </w:pPr>
    <w:rPr>
      <w:b/>
      <w:smallCaps/>
      <w:color w:val="000000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300" w:after="40"/>
      <w:outlineLvl w:val="2"/>
    </w:pPr>
    <w:rPr>
      <w:smallCaps/>
      <w:color w:val="79490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before="720" w:after="40"/>
    </w:pPr>
    <w:rPr>
      <w:smallCaps/>
      <w:color w:val="F09415"/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8">
    <w:name w:val="28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7">
    <w:name w:val="27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6">
    <w:name w:val="26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5">
    <w:name w:val="25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4">
    <w:name w:val="24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3">
    <w:name w:val="23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2">
    <w:name w:val="22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0">
    <w:name w:val="20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8">
    <w:name w:val="18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7">
    <w:name w:val="17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B6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6801"/>
  </w:style>
  <w:style w:type="paragraph" w:styleId="Zpat">
    <w:name w:val="footer"/>
    <w:basedOn w:val="Normln"/>
    <w:link w:val="ZpatChar"/>
    <w:uiPriority w:val="99"/>
    <w:unhideWhenUsed/>
    <w:rsid w:val="003B6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6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Pxzp4o6SAjXefE2xKcd17Z8sFw==">CgMxLjAyCGguZ2pkZ3hzMgloLjMwajB6bGwyCWguMWZvYjl0ZTIOaC5scDlxemdrMWcybzIyCWguM3pueXNoNzIOaC54cHJvczQ4cDc5b2syCWguMmV0OTJwMDIIaC50eWpjd3QyCWguM2R5NnZrbTIJaC4xN2RwOHZ1MgloLjF0M2g1c2YyCWguNGQzNG9nODIJaC4yczhleW8xOAByITFQVVdlTVhpU21UcWg1VlRuQ29hTkFGRHlIWEFpSGdicA==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3221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</cp:lastModifiedBy>
  <cp:revision>4</cp:revision>
  <dcterms:created xsi:type="dcterms:W3CDTF">2023-12-20T06:49:00Z</dcterms:created>
  <dcterms:modified xsi:type="dcterms:W3CDTF">2024-02-13T21:15:00Z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ScaleCrop">
    <vt:lpwstr>false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hareDoc">
    <vt:lpwstr>false</vt:lpwstr>
  </property>
</Properties>
</file>